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E70" w14:textId="77777777" w:rsidR="00834E21" w:rsidRDefault="00834E21">
      <w:pPr>
        <w:spacing w:before="1440"/>
      </w:pPr>
    </w:p>
    <w:p w14:paraId="2352AC76" w14:textId="77777777" w:rsidR="00834E21" w:rsidRDefault="00000000">
      <w:pPr>
        <w:spacing w:after="240"/>
        <w:jc w:val="center"/>
      </w:pPr>
      <w:r>
        <w:rPr>
          <w:rFonts w:ascii="Arial" w:eastAsia="Arial" w:hAnsi="Arial" w:cs="Arial"/>
          <w:b/>
          <w:bCs/>
          <w:color w:val="2E4057"/>
          <w:sz w:val="40"/>
          <w:szCs w:val="40"/>
        </w:rPr>
        <w:t>EXPERIENTIAL LEARNING IN SPORT MANAGEMENT</w:t>
      </w:r>
    </w:p>
    <w:p w14:paraId="35AEE251" w14:textId="77777777" w:rsidR="00834E21" w:rsidRDefault="00000000">
      <w:pPr>
        <w:spacing w:after="120"/>
        <w:jc w:val="center"/>
      </w:pPr>
      <w:r>
        <w:rPr>
          <w:rFonts w:ascii="Arial" w:eastAsia="Arial" w:hAnsi="Arial" w:cs="Arial"/>
          <w:i/>
          <w:iCs/>
          <w:color w:val="444444"/>
          <w:sz w:val="28"/>
          <w:szCs w:val="28"/>
        </w:rPr>
        <w:t>Building Careers Through Applied Practice, Leadership, and Networking</w:t>
      </w:r>
    </w:p>
    <w:p w14:paraId="112D00CA" w14:textId="77777777" w:rsidR="00834E21" w:rsidRDefault="00834E21">
      <w:pPr>
        <w:pBdr>
          <w:bottom w:val="single" w:sz="4" w:space="2" w:color="2E4057"/>
        </w:pBdr>
        <w:spacing w:before="200" w:after="200"/>
      </w:pPr>
    </w:p>
    <w:p w14:paraId="0684042D" w14:textId="77777777" w:rsidR="00834E21" w:rsidRDefault="00000000">
      <w:pPr>
        <w:spacing w:before="240" w:after="960"/>
        <w:jc w:val="center"/>
      </w:pPr>
      <w:r>
        <w:rPr>
          <w:rFonts w:ascii="Arial" w:eastAsia="Arial" w:hAnsi="Arial" w:cs="Arial"/>
          <w:color w:val="666666"/>
        </w:rPr>
        <w:t>Sport Management | Athletic Administration | Event Management</w:t>
      </w:r>
    </w:p>
    <w:p w14:paraId="11A0EE12" w14:textId="77777777" w:rsidR="00834E21" w:rsidRDefault="00000000">
      <w:r>
        <w:br w:type="page"/>
      </w:r>
    </w:p>
    <w:p w14:paraId="65D9D319" w14:textId="77777777" w:rsidR="00834E21" w:rsidRDefault="00834E21"/>
    <w:p w14:paraId="70844683" w14:textId="77777777" w:rsidR="00834E21" w:rsidRDefault="00834E21"/>
    <w:p w14:paraId="1D920707" w14:textId="77777777" w:rsidR="00834E21" w:rsidRDefault="00834E21"/>
    <w:p w14:paraId="06245F8E" w14:textId="77777777" w:rsidR="00834E21" w:rsidRDefault="00834E21"/>
    <w:p w14:paraId="3C726D0E" w14:textId="77777777" w:rsidR="00834E21" w:rsidRDefault="00000000">
      <w:pPr>
        <w:spacing w:after="360"/>
        <w:jc w:val="center"/>
      </w:pPr>
      <w:r>
        <w:rPr>
          <w:rFonts w:ascii="Arial" w:eastAsia="Arial" w:hAnsi="Arial" w:cs="Arial"/>
          <w:b/>
          <w:bCs/>
          <w:color w:val="2E4057"/>
          <w:sz w:val="36"/>
          <w:szCs w:val="36"/>
        </w:rPr>
        <w:t>EXPERIENTIAL LEARNING IN SPORT MANAGEMENT</w:t>
      </w:r>
    </w:p>
    <w:p w14:paraId="0CCE7AD8" w14:textId="77777777" w:rsidR="00834E21" w:rsidRDefault="00000000">
      <w:pPr>
        <w:spacing w:after="120"/>
        <w:jc w:val="center"/>
      </w:pPr>
      <w:r>
        <w:rPr>
          <w:rFonts w:ascii="Arial" w:eastAsia="Arial" w:hAnsi="Arial" w:cs="Arial"/>
          <w:i/>
          <w:iCs/>
          <w:color w:val="444444"/>
        </w:rPr>
        <w:t>Building Careers Through Applied Practice, Leadership, and Networking</w:t>
      </w:r>
    </w:p>
    <w:p w14:paraId="684B7241" w14:textId="77777777" w:rsidR="00834E21" w:rsidRDefault="00834E21">
      <w:pPr>
        <w:pBdr>
          <w:bottom w:val="single" w:sz="4" w:space="0" w:color="2E4057"/>
        </w:pBdr>
        <w:spacing w:after="360"/>
      </w:pPr>
    </w:p>
    <w:p w14:paraId="316B13E3" w14:textId="77777777" w:rsidR="00834E21" w:rsidRDefault="00000000">
      <w:pPr>
        <w:spacing w:after="120"/>
        <w:jc w:val="center"/>
      </w:pPr>
      <w:r>
        <w:rPr>
          <w:rFonts w:ascii="Arial" w:eastAsia="Arial" w:hAnsi="Arial" w:cs="Arial"/>
          <w:b/>
          <w:bCs/>
          <w:color w:val="2E4057"/>
          <w:sz w:val="28"/>
          <w:szCs w:val="28"/>
        </w:rPr>
        <w:t>Dr. Joshua S. Greer</w:t>
      </w:r>
    </w:p>
    <w:p w14:paraId="73E6B0FF" w14:textId="77777777" w:rsidR="00834E21" w:rsidRDefault="00834E21"/>
    <w:p w14:paraId="7421160D" w14:textId="77777777" w:rsidR="00834E21" w:rsidRDefault="00834E21"/>
    <w:p w14:paraId="3457F4D3" w14:textId="77777777" w:rsidR="00834E21" w:rsidRDefault="00834E21"/>
    <w:p w14:paraId="2D57FF1F" w14:textId="77777777" w:rsidR="00834E21" w:rsidRDefault="00834E21"/>
    <w:p w14:paraId="23E31225" w14:textId="77777777" w:rsidR="00834E21" w:rsidRDefault="00834E21"/>
    <w:p w14:paraId="593BCCAA" w14:textId="77777777" w:rsidR="00834E21" w:rsidRDefault="00000000">
      <w:pPr>
        <w:spacing w:after="80"/>
      </w:pPr>
      <w:r>
        <w:rPr>
          <w:b/>
          <w:bCs/>
          <w:sz w:val="22"/>
          <w:szCs w:val="22"/>
        </w:rPr>
        <w:t>First Edition, 2026</w:t>
      </w:r>
    </w:p>
    <w:p w14:paraId="66276A93" w14:textId="77777777" w:rsidR="00834E21" w:rsidRDefault="00000000">
      <w:pPr>
        <w:spacing w:after="80"/>
      </w:pPr>
      <w:r>
        <w:rPr>
          <w:sz w:val="22"/>
          <w:szCs w:val="22"/>
        </w:rPr>
        <w:t>Copyright © 2026 Dr. Joshua S. Greer. All rights reserved.</w:t>
      </w:r>
    </w:p>
    <w:p w14:paraId="11307AEC" w14:textId="77777777" w:rsidR="00834E21" w:rsidRDefault="00000000">
      <w:pPr>
        <w:spacing w:after="160"/>
      </w:pPr>
      <w:r>
        <w:rPr>
          <w:sz w:val="22"/>
          <w:szCs w:val="22"/>
        </w:rPr>
        <w:t>Trademark names used throughout the text are the property of their respective owners and are referenced for educational and editorial purposes only. While every effort has been made to verify the accuracy of citations, regulations, and case material as of the publication date, readers should consult current primary sources (NCAA bylaws, applicable federal and state regulations, and current peer-reviewed literature) before applying any concept in this book to a real-world professional decision.</w:t>
      </w:r>
    </w:p>
    <w:p w14:paraId="0BE86A55" w14:textId="77777777" w:rsidR="00834E21" w:rsidRDefault="00000000">
      <w:pPr>
        <w:spacing w:after="80"/>
      </w:pPr>
      <w:r>
        <w:rPr>
          <w:sz w:val="22"/>
          <w:szCs w:val="22"/>
        </w:rPr>
        <w:t>Edition: 1.0</w:t>
      </w:r>
    </w:p>
    <w:p w14:paraId="6E43F400" w14:textId="77777777" w:rsidR="00834E21" w:rsidRDefault="00000000">
      <w:pPr>
        <w:spacing w:after="80"/>
      </w:pPr>
      <w:r>
        <w:rPr>
          <w:sz w:val="22"/>
          <w:szCs w:val="22"/>
        </w:rPr>
        <w:t>Printed and distributed in the United States of America.</w:t>
      </w:r>
    </w:p>
    <w:p w14:paraId="3FF49BE3" w14:textId="77777777" w:rsidR="00834E21" w:rsidRDefault="00000000">
      <w:pPr>
        <w:spacing w:before="160" w:after="80"/>
      </w:pPr>
      <w:r>
        <w:rPr>
          <w:sz w:val="22"/>
          <w:szCs w:val="22"/>
        </w:rPr>
        <w:t>No portion of this publication may be reproduced, stored in a retrieval system, or transmitted in any form or by any means, electronic, mechanical, photocopying, recording, or otherwise, without the prior written permission of the author, except as permitted under Sections 107 or 108 of the 1976 United States Copyright Act.</w:t>
      </w:r>
    </w:p>
    <w:p w14:paraId="260D1EEB" w14:textId="77777777" w:rsidR="00834E21" w:rsidRDefault="00000000">
      <w:pPr>
        <w:spacing w:before="80" w:after="80"/>
      </w:pPr>
      <w:r>
        <w:rPr>
          <w:sz w:val="22"/>
          <w:szCs w:val="22"/>
        </w:rPr>
        <w:t>For permissions requests, contact the author through Bethel University, McKenzie, Tennessee.</w:t>
      </w:r>
    </w:p>
    <w:p w14:paraId="6067F3D6" w14:textId="77777777" w:rsidR="00834E21" w:rsidRDefault="00000000">
      <w:pPr>
        <w:spacing w:before="160" w:after="80"/>
      </w:pPr>
      <w:r>
        <w:rPr>
          <w:i/>
          <w:iCs/>
          <w:sz w:val="22"/>
          <w:szCs w:val="22"/>
        </w:rPr>
        <w:t>All citations follow the Publication Manual of the American Psychological Association, Seventh Edition (APA 7th ed.).</w:t>
      </w:r>
    </w:p>
    <w:p w14:paraId="0F024A1D" w14:textId="77777777" w:rsidR="00834E21" w:rsidRDefault="00000000">
      <w:r>
        <w:br w:type="page"/>
      </w:r>
    </w:p>
    <w:p w14:paraId="65E1E731" w14:textId="77777777" w:rsidR="00834E21" w:rsidRDefault="00834E21"/>
    <w:p w14:paraId="266F2688" w14:textId="77777777" w:rsidR="00834E21" w:rsidRDefault="00834E21"/>
    <w:p w14:paraId="1126002F" w14:textId="77777777" w:rsidR="00834E21" w:rsidRDefault="00834E21"/>
    <w:p w14:paraId="79E1B734" w14:textId="77777777" w:rsidR="00834E21" w:rsidRDefault="00834E21"/>
    <w:p w14:paraId="633E4591" w14:textId="77777777" w:rsidR="00834E21" w:rsidRDefault="00834E21"/>
    <w:p w14:paraId="66FFB94B" w14:textId="77777777" w:rsidR="00834E21" w:rsidRDefault="00834E21"/>
    <w:p w14:paraId="7B74687B" w14:textId="77777777" w:rsidR="00834E21" w:rsidRDefault="00834E21"/>
    <w:p w14:paraId="3BD928A6" w14:textId="77777777" w:rsidR="00834E21" w:rsidRDefault="00834E21"/>
    <w:p w14:paraId="14F94CC9" w14:textId="77777777" w:rsidR="00834E21" w:rsidRDefault="00000000">
      <w:pPr>
        <w:spacing w:after="240"/>
        <w:jc w:val="center"/>
      </w:pPr>
      <w:r>
        <w:rPr>
          <w:rFonts w:ascii="Arial" w:eastAsia="Arial" w:hAnsi="Arial" w:cs="Arial"/>
          <w:b/>
          <w:bCs/>
          <w:color w:val="2E4057"/>
          <w:sz w:val="32"/>
          <w:szCs w:val="32"/>
        </w:rPr>
        <w:t>Dedication</w:t>
      </w:r>
    </w:p>
    <w:p w14:paraId="3B0384C0" w14:textId="77777777" w:rsidR="00834E21" w:rsidRDefault="00834E21">
      <w:pPr>
        <w:pBdr>
          <w:bottom w:val="single" w:sz="4" w:space="0" w:color="CCCCCC"/>
        </w:pBdr>
        <w:spacing w:after="480"/>
      </w:pPr>
    </w:p>
    <w:p w14:paraId="579079F9" w14:textId="74803B99" w:rsidR="00834E21" w:rsidRPr="002A3EBE" w:rsidRDefault="00000000" w:rsidP="002A3EBE">
      <w:pPr>
        <w:spacing w:after="160"/>
        <w:jc w:val="center"/>
        <w:rPr>
          <w:i/>
          <w:iCs/>
        </w:rPr>
      </w:pPr>
      <w:r>
        <w:rPr>
          <w:i/>
          <w:iCs/>
          <w:sz w:val="26"/>
          <w:szCs w:val="26"/>
        </w:rPr>
        <w:t xml:space="preserve">For every </w:t>
      </w:r>
      <w:r>
        <w:rPr>
          <w:i/>
          <w:iCs/>
        </w:rPr>
        <w:t>mentor, supervisor, and practitioners who give their time to develop the next generation of sport management professionals.</w:t>
      </w:r>
    </w:p>
    <w:p w14:paraId="5CA423CA" w14:textId="77777777" w:rsidR="00834E21" w:rsidRDefault="00000000">
      <w:r>
        <w:br w:type="page"/>
      </w:r>
    </w:p>
    <w:p w14:paraId="1FFDF086" w14:textId="77777777" w:rsidR="00834E21" w:rsidRDefault="00000000" w:rsidP="002A3EBE">
      <w:pPr>
        <w:pStyle w:val="Heading1"/>
        <w:spacing w:after="120"/>
        <w:jc w:val="center"/>
      </w:pPr>
      <w:r>
        <w:lastRenderedPageBreak/>
        <w:t>About the Author</w:t>
      </w:r>
    </w:p>
    <w:p w14:paraId="6C010CFC" w14:textId="77777777" w:rsidR="00834E21" w:rsidRDefault="00000000">
      <w:pPr>
        <w:spacing w:after="240"/>
        <w:jc w:val="center"/>
      </w:pPr>
      <w:r>
        <w:rPr>
          <w:rFonts w:ascii="Arial" w:eastAsia="Arial" w:hAnsi="Arial" w:cs="Arial"/>
          <w:b/>
          <w:bCs/>
          <w:color w:val="2E4057"/>
          <w:sz w:val="30"/>
          <w:szCs w:val="30"/>
        </w:rPr>
        <w:t>Dr. Joshua S. Greer</w:t>
      </w:r>
    </w:p>
    <w:p w14:paraId="081BE9E3" w14:textId="4B40BDF4" w:rsidR="00834E21" w:rsidRDefault="00000000" w:rsidP="00D52FEB">
      <w:pPr>
        <w:spacing w:after="160" w:line="360" w:lineRule="auto"/>
        <w:jc w:val="both"/>
      </w:pPr>
      <w:r>
        <w:t>Dr. Joshua S. Greer is a faculty member</w:t>
      </w:r>
      <w:r w:rsidR="002A3EBE">
        <w:t xml:space="preserve"> of</w:t>
      </w:r>
      <w:r>
        <w:t xml:space="preserve"> sport management at </w:t>
      </w:r>
      <w:r w:rsidR="002A3EBE">
        <w:t>Cumberland University</w:t>
      </w:r>
      <w:r>
        <w:t>. His teaching philosophy is grounded in the conviction that sport management education must bridge rigorous academic scholarship with the practical demands of organizational life in the modern sport industry.</w:t>
      </w:r>
    </w:p>
    <w:p w14:paraId="31E86CD4" w14:textId="6E38DA84" w:rsidR="00834E21" w:rsidRDefault="00000000">
      <w:pPr>
        <w:spacing w:after="160" w:line="360" w:lineRule="auto"/>
        <w:ind w:firstLine="720"/>
        <w:jc w:val="both"/>
      </w:pPr>
      <w:r>
        <w:t>Dr. Greer</w:t>
      </w:r>
      <w:r w:rsidR="002A3EBE">
        <w:t>’s</w:t>
      </w:r>
      <w:r>
        <w:t xml:space="preserve"> scholarly interests center on the professional development of sport management graduates</w:t>
      </w:r>
      <w:r w:rsidR="002A3EBE">
        <w:t>;</w:t>
      </w:r>
      <w:r>
        <w:t xml:space="preserve"> mentorship and sponsorship dynamics in athletic administration</w:t>
      </w:r>
      <w:r w:rsidR="002A3EBE">
        <w:t>;</w:t>
      </w:r>
      <w:r>
        <w:t xml:space="preserve"> nonprofit sport development</w:t>
      </w:r>
      <w:r w:rsidR="002A3EBE">
        <w:t>;</w:t>
      </w:r>
      <w:r>
        <w:t xml:space="preserve"> and the role of experiential learning in building career-ready practitioners. His research has been informed by years of direct engagement with collegiate athletic departments, community sport organizations, and sport development programs across the southeastern United States.</w:t>
      </w:r>
    </w:p>
    <w:p w14:paraId="3CA3BFCE" w14:textId="77777777" w:rsidR="00834E21" w:rsidRDefault="00000000">
      <w:pPr>
        <w:spacing w:after="160" w:line="360" w:lineRule="auto"/>
        <w:ind w:firstLine="720"/>
        <w:jc w:val="both"/>
      </w:pPr>
      <w:r>
        <w:t>Prior to his academic career, Dr. Greer accumulated extensive practical experience across multiple sectors of the sport industry, including collegiate athletics administration, athletic fundraising and donor relations, community sport outreach, and event management. This applied background shapes his classroom approach, which consistently emphasizes that the most durable professional knowledge is built at the intersection of theory, reflection, and direct practice.</w:t>
      </w:r>
    </w:p>
    <w:p w14:paraId="710223EA" w14:textId="77777777" w:rsidR="00834E21" w:rsidRDefault="00000000">
      <w:pPr>
        <w:spacing w:after="160" w:line="360" w:lineRule="auto"/>
        <w:ind w:firstLine="720"/>
        <w:jc w:val="both"/>
      </w:pPr>
      <w:r>
        <w:t>Dr. Greer is deeply committed to the development of the whole professional, not merely the technically competent practitioner. He believes that the best sport managers are those who lead with integrity, invest in the people around them, and bring genuine curiosity and community orientation to every professional context they inhabit. These convictions are embedded throughout this textbook.</w:t>
      </w:r>
    </w:p>
    <w:p w14:paraId="083F80AF" w14:textId="77777777" w:rsidR="00834E21" w:rsidRDefault="00000000">
      <w:r>
        <w:br w:type="page"/>
      </w:r>
    </w:p>
    <w:p w14:paraId="0738645D" w14:textId="77777777" w:rsidR="00834E21" w:rsidRDefault="00000000">
      <w:pPr>
        <w:pStyle w:val="Heading1"/>
        <w:spacing w:after="120"/>
      </w:pPr>
      <w:r>
        <w:lastRenderedPageBreak/>
        <w:t>How to Use This Textbook</w:t>
      </w:r>
    </w:p>
    <w:p w14:paraId="196EEC66" w14:textId="77777777" w:rsidR="00834E21" w:rsidRDefault="00000000">
      <w:pPr>
        <w:spacing w:after="160" w:line="360" w:lineRule="auto"/>
        <w:ind w:firstLine="720"/>
        <w:jc w:val="both"/>
      </w:pPr>
      <w:r>
        <w:t>This textbook is designed to function as a dynamic, practice-integrated learning companion across a graduate sport management program. It is not intended to be read passively or in isolation from the applied learning experiences that give its content meaning. The following guidance will help students and faculty extract maximum educational value from the text.</w:t>
      </w:r>
    </w:p>
    <w:p w14:paraId="4F6FC9C3" w14:textId="77777777" w:rsidR="00834E21" w:rsidRDefault="00000000">
      <w:pPr>
        <w:pStyle w:val="Heading2"/>
        <w:spacing w:after="120"/>
      </w:pPr>
      <w:r>
        <w:t>For Students</w:t>
      </w:r>
    </w:p>
    <w:p w14:paraId="0E9C2D56" w14:textId="77777777" w:rsidR="00834E21" w:rsidRDefault="00000000">
      <w:pPr>
        <w:spacing w:after="160" w:line="360" w:lineRule="auto"/>
        <w:ind w:firstLine="720"/>
        <w:jc w:val="both"/>
      </w:pPr>
      <w:r>
        <w:t>Each chapter opens with conceptual content grounded in peer-reviewed scholarship. Read this material before your applied learning shifts, supervisory meetings, or class sessions, not after. The theoretical frameworks presented in each chapter are tools for observing, analyzing, and interpreting what you encounter in professional settings. Bring them with you into the field.</w:t>
      </w:r>
    </w:p>
    <w:p w14:paraId="1883FA83" w14:textId="77777777" w:rsidR="00834E21" w:rsidRDefault="00000000">
      <w:pPr>
        <w:spacing w:after="160" w:line="360" w:lineRule="auto"/>
        <w:ind w:firstLine="720"/>
        <w:jc w:val="both"/>
      </w:pPr>
      <w:r>
        <w:t>The Discussion Questions at the end of each chapter are designed for substantive engagement, not brief responses. Many draw directly on specific research findings cited in the chapter and ask you to apply, critique, or extend those findings in relation to your own professional context. Prepare for these discussions by returning to the cited sources, not merely summarizing chapter summaries.</w:t>
      </w:r>
    </w:p>
    <w:p w14:paraId="1A2E24E5" w14:textId="77777777" w:rsidR="00834E21" w:rsidRDefault="00000000">
      <w:pPr>
        <w:spacing w:after="160" w:line="360" w:lineRule="auto"/>
        <w:ind w:firstLine="720"/>
        <w:jc w:val="both"/>
      </w:pPr>
      <w:r>
        <w:t>The Reflection Practices are structured to produce portfolio-quality work. Treat each one as a professional document, not an informal journal entry. The goal is to develop the analytical writing and professional communication skills that will serve you throughout your career.</w:t>
      </w:r>
    </w:p>
    <w:p w14:paraId="774A2C98" w14:textId="77777777" w:rsidR="00834E21" w:rsidRDefault="00000000">
      <w:pPr>
        <w:spacing w:after="160" w:line="360" w:lineRule="auto"/>
        <w:ind w:firstLine="720"/>
        <w:jc w:val="both"/>
      </w:pPr>
      <w:r>
        <w:t>Your five-year career roadmap, introduced in Chapter 2 and finalized in Chapter 10, is the spine of your professional development work in this course. Return to it after every chapter, every informational interview, and every applied learning experience. Let it evolve. The professional you are becoming will differ from the professional you imagined on the first day of class, and that evolution is evidence of learning.</w:t>
      </w:r>
    </w:p>
    <w:p w14:paraId="739DC764" w14:textId="77777777" w:rsidR="00834E21" w:rsidRDefault="00000000">
      <w:pPr>
        <w:pStyle w:val="Heading2"/>
        <w:spacing w:after="120"/>
      </w:pPr>
      <w:r>
        <w:t>For Faculty</w:t>
      </w:r>
    </w:p>
    <w:p w14:paraId="06F7310E" w14:textId="77777777" w:rsidR="00834E21" w:rsidRDefault="00000000">
      <w:pPr>
        <w:spacing w:after="160" w:line="360" w:lineRule="auto"/>
        <w:ind w:firstLine="720"/>
        <w:jc w:val="both"/>
      </w:pPr>
      <w:r>
        <w:t>This text is designed to support applied and hybrid pedagogical models in which classroom instruction and experiential learning reinforce each other continuously. The most effective use of this material occurs when students have concurrent applied learning placements so that theoretical content can be immediately tested against professional reality.</w:t>
      </w:r>
    </w:p>
    <w:p w14:paraId="5421A4F3" w14:textId="77777777" w:rsidR="00834E21" w:rsidRDefault="00000000">
      <w:pPr>
        <w:spacing w:after="160" w:line="360" w:lineRule="auto"/>
        <w:ind w:firstLine="720"/>
        <w:jc w:val="both"/>
      </w:pPr>
      <w:r>
        <w:lastRenderedPageBreak/>
        <w:t>Each chapter concludes with five Discussion Questions and five Reflection Practices. Faculty are encouraged to select and sequence these based on the applied learning contexts of their specific student cohort, adjusting emphasis to match the developmental stage and professional exposure of their students at any given point in the term.</w:t>
      </w:r>
    </w:p>
    <w:p w14:paraId="4CCF86F8" w14:textId="7D3675AE" w:rsidR="005E4E01" w:rsidRDefault="005E4E01">
      <w:pPr>
        <w:spacing w:after="160" w:line="360" w:lineRule="auto"/>
        <w:ind w:firstLine="720"/>
        <w:jc w:val="both"/>
      </w:pPr>
      <w:r w:rsidRPr="005E4E01">
        <w:t>The reference lists at each chapter's end showcase the scholarly sources supporting the topics. Faculty aiming to include primary sources with the textbook can use the DOIs in each list as a dependable starting point for course reserve choices.</w:t>
      </w:r>
    </w:p>
    <w:p w14:paraId="0ED44E52" w14:textId="77777777" w:rsidR="00834E21" w:rsidRDefault="00000000">
      <w:pPr>
        <w:pStyle w:val="Heading2"/>
        <w:spacing w:after="120"/>
      </w:pPr>
      <w:r>
        <w:t>A Note on Citation</w:t>
      </w:r>
    </w:p>
    <w:p w14:paraId="01CD5A3D" w14:textId="70B147D4" w:rsidR="00834E21" w:rsidRDefault="00000000">
      <w:pPr>
        <w:spacing w:after="160" w:line="360" w:lineRule="auto"/>
        <w:ind w:firstLine="720"/>
        <w:jc w:val="both"/>
      </w:pPr>
      <w:r>
        <w:t xml:space="preserve">All citations in this text follow the Publication Manual of the American Psychological Association, Seventh Edition. Graduate students are expected to adopt and apply APA citation conventions in all written work produced </w:t>
      </w:r>
      <w:r w:rsidR="005E4E01">
        <w:t>for</w:t>
      </w:r>
      <w:r>
        <w:t xml:space="preserve"> this course, including reflection journals, discussion responses, the professional portfolio, and the career roadmap.</w:t>
      </w:r>
    </w:p>
    <w:p w14:paraId="3E0B7D59" w14:textId="77777777" w:rsidR="00834E21" w:rsidRDefault="00000000">
      <w:r>
        <w:br w:type="page"/>
      </w:r>
    </w:p>
    <w:p w14:paraId="59D49919" w14:textId="77777777" w:rsidR="00834E21" w:rsidRDefault="00000000">
      <w:pPr>
        <w:pStyle w:val="Heading1"/>
        <w:spacing w:after="120"/>
      </w:pPr>
      <w:r>
        <w:lastRenderedPageBreak/>
        <w:t>Table of Contents</w:t>
      </w:r>
    </w:p>
    <w:p w14:paraId="4C0235CA" w14:textId="77777777" w:rsidR="00834E21" w:rsidRDefault="00834E21"/>
    <w:p w14:paraId="0BD65AD5" w14:textId="77777777" w:rsidR="00834E21" w:rsidRDefault="00000000">
      <w:pPr>
        <w:spacing w:before="60" w:after="60" w:line="300" w:lineRule="auto"/>
      </w:pPr>
      <w:r>
        <w:rPr>
          <w:rFonts w:ascii="Arial" w:eastAsia="Arial" w:hAnsi="Arial" w:cs="Arial"/>
          <w:b/>
          <w:bCs/>
          <w:sz w:val="22"/>
          <w:szCs w:val="22"/>
        </w:rPr>
        <w:t>Dedication</w:t>
      </w:r>
      <w:r>
        <w:rPr>
          <w:rFonts w:ascii="Arial" w:eastAsia="Arial" w:hAnsi="Arial" w:cs="Arial"/>
          <w:sz w:val="22"/>
          <w:szCs w:val="22"/>
        </w:rPr>
        <w:ptab w:relativeTo="margin" w:alignment="right" w:leader="dot"/>
      </w:r>
      <w:r>
        <w:rPr>
          <w:rFonts w:ascii="Arial" w:eastAsia="Arial" w:hAnsi="Arial" w:cs="Arial"/>
          <w:sz w:val="22"/>
          <w:szCs w:val="22"/>
        </w:rPr>
        <w:t>iii</w:t>
      </w:r>
    </w:p>
    <w:p w14:paraId="396745B1" w14:textId="77777777" w:rsidR="00834E21" w:rsidRDefault="00000000">
      <w:pPr>
        <w:spacing w:before="60" w:after="60" w:line="300" w:lineRule="auto"/>
      </w:pPr>
      <w:r>
        <w:rPr>
          <w:rFonts w:ascii="Arial" w:eastAsia="Arial" w:hAnsi="Arial" w:cs="Arial"/>
          <w:b/>
          <w:bCs/>
          <w:sz w:val="22"/>
          <w:szCs w:val="22"/>
        </w:rPr>
        <w:t>About the Author</w:t>
      </w:r>
      <w:r>
        <w:rPr>
          <w:rFonts w:ascii="Arial" w:eastAsia="Arial" w:hAnsi="Arial" w:cs="Arial"/>
          <w:sz w:val="22"/>
          <w:szCs w:val="22"/>
        </w:rPr>
        <w:ptab w:relativeTo="margin" w:alignment="right" w:leader="dot"/>
      </w:r>
      <w:r>
        <w:rPr>
          <w:rFonts w:ascii="Arial" w:eastAsia="Arial" w:hAnsi="Arial" w:cs="Arial"/>
          <w:sz w:val="22"/>
          <w:szCs w:val="22"/>
        </w:rPr>
        <w:t>iv</w:t>
      </w:r>
    </w:p>
    <w:p w14:paraId="49E96680" w14:textId="77777777" w:rsidR="00834E21" w:rsidRDefault="00000000">
      <w:pPr>
        <w:spacing w:before="60" w:after="60" w:line="300" w:lineRule="auto"/>
      </w:pPr>
      <w:r>
        <w:rPr>
          <w:rFonts w:ascii="Arial" w:eastAsia="Arial" w:hAnsi="Arial" w:cs="Arial"/>
          <w:b/>
          <w:bCs/>
          <w:sz w:val="22"/>
          <w:szCs w:val="22"/>
        </w:rPr>
        <w:t>How to Use This Textbook</w:t>
      </w:r>
      <w:r>
        <w:rPr>
          <w:rFonts w:ascii="Arial" w:eastAsia="Arial" w:hAnsi="Arial" w:cs="Arial"/>
          <w:sz w:val="22"/>
          <w:szCs w:val="22"/>
        </w:rPr>
        <w:ptab w:relativeTo="margin" w:alignment="right" w:leader="dot"/>
      </w:r>
      <w:r>
        <w:rPr>
          <w:rFonts w:ascii="Arial" w:eastAsia="Arial" w:hAnsi="Arial" w:cs="Arial"/>
          <w:sz w:val="22"/>
          <w:szCs w:val="22"/>
        </w:rPr>
        <w:t>v</w:t>
      </w:r>
    </w:p>
    <w:p w14:paraId="1A0E161E" w14:textId="77777777" w:rsidR="00834E21" w:rsidRDefault="00000000">
      <w:pPr>
        <w:spacing w:before="60" w:after="60" w:line="300" w:lineRule="auto"/>
      </w:pPr>
      <w:r>
        <w:rPr>
          <w:rFonts w:ascii="Arial" w:eastAsia="Arial" w:hAnsi="Arial" w:cs="Arial"/>
          <w:b/>
          <w:bCs/>
          <w:sz w:val="22"/>
          <w:szCs w:val="22"/>
        </w:rPr>
        <w:t>Preface</w:t>
      </w:r>
      <w:r>
        <w:rPr>
          <w:rFonts w:ascii="Arial" w:eastAsia="Arial" w:hAnsi="Arial" w:cs="Arial"/>
          <w:sz w:val="22"/>
          <w:szCs w:val="22"/>
        </w:rPr>
        <w:ptab w:relativeTo="margin" w:alignment="right" w:leader="dot"/>
      </w:r>
      <w:r>
        <w:rPr>
          <w:rFonts w:ascii="Arial" w:eastAsia="Arial" w:hAnsi="Arial" w:cs="Arial"/>
          <w:sz w:val="22"/>
          <w:szCs w:val="22"/>
        </w:rPr>
        <w:t>vii</w:t>
      </w:r>
    </w:p>
    <w:p w14:paraId="297339AB" w14:textId="77777777" w:rsidR="00834E21" w:rsidRDefault="00834E21"/>
    <w:p w14:paraId="44781483" w14:textId="77777777" w:rsidR="00834E21" w:rsidRDefault="00000000">
      <w:pPr>
        <w:spacing w:before="180" w:after="60"/>
      </w:pPr>
      <w:r>
        <w:rPr>
          <w:rFonts w:ascii="Arial" w:eastAsia="Arial" w:hAnsi="Arial" w:cs="Arial"/>
          <w:b/>
          <w:bCs/>
          <w:color w:val="2E4057"/>
          <w:sz w:val="20"/>
          <w:szCs w:val="20"/>
        </w:rPr>
        <w:t>UNIT I: FOUNDATIONS OF EXPERIENTIAL LEARNING IN SPORT MANAGEMENT</w:t>
      </w:r>
    </w:p>
    <w:p w14:paraId="4DB7B2B1" w14:textId="77777777" w:rsidR="00834E21" w:rsidRDefault="00000000">
      <w:pPr>
        <w:spacing w:before="60" w:after="60" w:line="300" w:lineRule="auto"/>
      </w:pPr>
      <w:r>
        <w:rPr>
          <w:rFonts w:ascii="Arial" w:eastAsia="Arial" w:hAnsi="Arial" w:cs="Arial"/>
          <w:b/>
          <w:bCs/>
          <w:sz w:val="22"/>
          <w:szCs w:val="22"/>
        </w:rPr>
        <w:t>Chapter 1: Introduction to Experiential Learning in Sport Management</w:t>
      </w:r>
      <w:r>
        <w:rPr>
          <w:rFonts w:ascii="Arial" w:eastAsia="Arial" w:hAnsi="Arial" w:cs="Arial"/>
          <w:sz w:val="22"/>
          <w:szCs w:val="22"/>
        </w:rPr>
        <w:ptab w:relativeTo="margin" w:alignment="right" w:leader="dot"/>
      </w:r>
      <w:r>
        <w:rPr>
          <w:rFonts w:ascii="Arial" w:eastAsia="Arial" w:hAnsi="Arial" w:cs="Arial"/>
          <w:sz w:val="22"/>
          <w:szCs w:val="22"/>
        </w:rPr>
        <w:t>1</w:t>
      </w:r>
    </w:p>
    <w:p w14:paraId="1B4F069F" w14:textId="77777777" w:rsidR="00834E21" w:rsidRDefault="00000000">
      <w:pPr>
        <w:spacing w:before="60" w:after="60" w:line="300" w:lineRule="auto"/>
        <w:ind w:left="360"/>
      </w:pPr>
      <w:proofErr w:type="gramStart"/>
      <w:r>
        <w:rPr>
          <w:rFonts w:ascii="Arial" w:eastAsia="Arial" w:hAnsi="Arial" w:cs="Arial"/>
          <w:sz w:val="20"/>
          <w:szCs w:val="20"/>
        </w:rPr>
        <w:t>1.1  Defining</w:t>
      </w:r>
      <w:proofErr w:type="gramEnd"/>
      <w:r>
        <w:rPr>
          <w:rFonts w:ascii="Arial" w:eastAsia="Arial" w:hAnsi="Arial" w:cs="Arial"/>
          <w:sz w:val="20"/>
          <w:szCs w:val="20"/>
        </w:rPr>
        <w:t xml:space="preserve"> Experiential Learning</w:t>
      </w:r>
      <w:r>
        <w:rPr>
          <w:rFonts w:ascii="Arial" w:eastAsia="Arial" w:hAnsi="Arial" w:cs="Arial"/>
          <w:sz w:val="20"/>
          <w:szCs w:val="20"/>
        </w:rPr>
        <w:ptab w:relativeTo="margin" w:alignment="right" w:leader="dot"/>
      </w:r>
      <w:r>
        <w:rPr>
          <w:rFonts w:ascii="Arial" w:eastAsia="Arial" w:hAnsi="Arial" w:cs="Arial"/>
          <w:sz w:val="20"/>
          <w:szCs w:val="20"/>
        </w:rPr>
        <w:t>1</w:t>
      </w:r>
    </w:p>
    <w:p w14:paraId="41BDBED4" w14:textId="77777777" w:rsidR="00834E21" w:rsidRDefault="00000000">
      <w:pPr>
        <w:spacing w:before="60" w:after="60" w:line="300" w:lineRule="auto"/>
        <w:ind w:left="360"/>
      </w:pPr>
      <w:proofErr w:type="gramStart"/>
      <w:r>
        <w:rPr>
          <w:rFonts w:ascii="Arial" w:eastAsia="Arial" w:hAnsi="Arial" w:cs="Arial"/>
          <w:sz w:val="20"/>
          <w:szCs w:val="20"/>
        </w:rPr>
        <w:t>1.2  Historical</w:t>
      </w:r>
      <w:proofErr w:type="gramEnd"/>
      <w:r>
        <w:rPr>
          <w:rFonts w:ascii="Arial" w:eastAsia="Arial" w:hAnsi="Arial" w:cs="Arial"/>
          <w:sz w:val="20"/>
          <w:szCs w:val="20"/>
        </w:rPr>
        <w:t xml:space="preserve"> Development in Higher Education</w:t>
      </w:r>
      <w:r>
        <w:rPr>
          <w:rFonts w:ascii="Arial" w:eastAsia="Arial" w:hAnsi="Arial" w:cs="Arial"/>
          <w:sz w:val="20"/>
          <w:szCs w:val="20"/>
        </w:rPr>
        <w:ptab w:relativeTo="margin" w:alignment="right" w:leader="dot"/>
      </w:r>
      <w:r>
        <w:rPr>
          <w:rFonts w:ascii="Arial" w:eastAsia="Arial" w:hAnsi="Arial" w:cs="Arial"/>
          <w:sz w:val="20"/>
          <w:szCs w:val="20"/>
        </w:rPr>
        <w:t>3</w:t>
      </w:r>
    </w:p>
    <w:p w14:paraId="274EA648" w14:textId="77777777" w:rsidR="00834E21" w:rsidRDefault="00000000">
      <w:pPr>
        <w:spacing w:before="60" w:after="60" w:line="300" w:lineRule="auto"/>
        <w:ind w:left="360"/>
      </w:pPr>
      <w:proofErr w:type="gramStart"/>
      <w:r>
        <w:rPr>
          <w:rFonts w:ascii="Arial" w:eastAsia="Arial" w:hAnsi="Arial" w:cs="Arial"/>
          <w:sz w:val="20"/>
          <w:szCs w:val="20"/>
        </w:rPr>
        <w:t>1.3  Kolb's</w:t>
      </w:r>
      <w:proofErr w:type="gramEnd"/>
      <w:r>
        <w:rPr>
          <w:rFonts w:ascii="Arial" w:eastAsia="Arial" w:hAnsi="Arial" w:cs="Arial"/>
          <w:sz w:val="20"/>
          <w:szCs w:val="20"/>
        </w:rPr>
        <w:t xml:space="preserve"> Experiential Learning Theory</w:t>
      </w:r>
      <w:r>
        <w:rPr>
          <w:rFonts w:ascii="Arial" w:eastAsia="Arial" w:hAnsi="Arial" w:cs="Arial"/>
          <w:sz w:val="20"/>
          <w:szCs w:val="20"/>
        </w:rPr>
        <w:ptab w:relativeTo="margin" w:alignment="right" w:leader="dot"/>
      </w:r>
      <w:r>
        <w:rPr>
          <w:rFonts w:ascii="Arial" w:eastAsia="Arial" w:hAnsi="Arial" w:cs="Arial"/>
          <w:sz w:val="20"/>
          <w:szCs w:val="20"/>
        </w:rPr>
        <w:t>5</w:t>
      </w:r>
    </w:p>
    <w:p w14:paraId="0F4DD4C7" w14:textId="77777777" w:rsidR="00834E21" w:rsidRDefault="00000000">
      <w:pPr>
        <w:spacing w:before="60" w:after="60" w:line="300" w:lineRule="auto"/>
        <w:ind w:left="360"/>
      </w:pPr>
      <w:proofErr w:type="gramStart"/>
      <w:r>
        <w:rPr>
          <w:rFonts w:ascii="Arial" w:eastAsia="Arial" w:hAnsi="Arial" w:cs="Arial"/>
          <w:sz w:val="20"/>
          <w:szCs w:val="20"/>
        </w:rPr>
        <w:t>1.4  Applied</w:t>
      </w:r>
      <w:proofErr w:type="gramEnd"/>
      <w:r>
        <w:rPr>
          <w:rFonts w:ascii="Arial" w:eastAsia="Arial" w:hAnsi="Arial" w:cs="Arial"/>
          <w:sz w:val="20"/>
          <w:szCs w:val="20"/>
        </w:rPr>
        <w:t xml:space="preserve"> Learning Versus Traditional Classroom Instruction</w:t>
      </w:r>
      <w:r>
        <w:rPr>
          <w:rFonts w:ascii="Arial" w:eastAsia="Arial" w:hAnsi="Arial" w:cs="Arial"/>
          <w:sz w:val="20"/>
          <w:szCs w:val="20"/>
        </w:rPr>
        <w:ptab w:relativeTo="margin" w:alignment="right" w:leader="dot"/>
      </w:r>
      <w:r>
        <w:rPr>
          <w:rFonts w:ascii="Arial" w:eastAsia="Arial" w:hAnsi="Arial" w:cs="Arial"/>
          <w:sz w:val="20"/>
          <w:szCs w:val="20"/>
        </w:rPr>
        <w:t>7</w:t>
      </w:r>
    </w:p>
    <w:p w14:paraId="37E887BF" w14:textId="77777777" w:rsidR="00834E21" w:rsidRDefault="00000000">
      <w:pPr>
        <w:spacing w:before="60" w:after="60" w:line="300" w:lineRule="auto"/>
        <w:ind w:left="360"/>
      </w:pPr>
      <w:proofErr w:type="gramStart"/>
      <w:r>
        <w:rPr>
          <w:rFonts w:ascii="Arial" w:eastAsia="Arial" w:hAnsi="Arial" w:cs="Arial"/>
          <w:sz w:val="20"/>
          <w:szCs w:val="20"/>
        </w:rPr>
        <w:t>1.5  Why</w:t>
      </w:r>
      <w:proofErr w:type="gramEnd"/>
      <w:r>
        <w:rPr>
          <w:rFonts w:ascii="Arial" w:eastAsia="Arial" w:hAnsi="Arial" w:cs="Arial"/>
          <w:sz w:val="20"/>
          <w:szCs w:val="20"/>
        </w:rPr>
        <w:t xml:space="preserve"> Experiential Learning Matters in Sport Management</w:t>
      </w:r>
      <w:r>
        <w:rPr>
          <w:rFonts w:ascii="Arial" w:eastAsia="Arial" w:hAnsi="Arial" w:cs="Arial"/>
          <w:sz w:val="20"/>
          <w:szCs w:val="20"/>
        </w:rPr>
        <w:ptab w:relativeTo="margin" w:alignment="right" w:leader="dot"/>
      </w:r>
      <w:r>
        <w:rPr>
          <w:rFonts w:ascii="Arial" w:eastAsia="Arial" w:hAnsi="Arial" w:cs="Arial"/>
          <w:sz w:val="20"/>
          <w:szCs w:val="20"/>
        </w:rPr>
        <w:t>8</w:t>
      </w:r>
    </w:p>
    <w:p w14:paraId="6EAC7FBA" w14:textId="77777777" w:rsidR="00834E21" w:rsidRDefault="00000000">
      <w:pPr>
        <w:spacing w:before="60" w:after="60" w:line="300" w:lineRule="auto"/>
        <w:ind w:left="360"/>
      </w:pPr>
      <w:proofErr w:type="gramStart"/>
      <w:r>
        <w:rPr>
          <w:rFonts w:ascii="Arial" w:eastAsia="Arial" w:hAnsi="Arial" w:cs="Arial"/>
          <w:sz w:val="20"/>
          <w:szCs w:val="20"/>
        </w:rPr>
        <w:t>1.6  Career</w:t>
      </w:r>
      <w:proofErr w:type="gramEnd"/>
      <w:r>
        <w:rPr>
          <w:rFonts w:ascii="Arial" w:eastAsia="Arial" w:hAnsi="Arial" w:cs="Arial"/>
          <w:sz w:val="20"/>
          <w:szCs w:val="20"/>
        </w:rPr>
        <w:t xml:space="preserve"> Readiness and Employability Outcomes</w:t>
      </w:r>
      <w:r>
        <w:rPr>
          <w:rFonts w:ascii="Arial" w:eastAsia="Arial" w:hAnsi="Arial" w:cs="Arial"/>
          <w:sz w:val="20"/>
          <w:szCs w:val="20"/>
        </w:rPr>
        <w:ptab w:relativeTo="margin" w:alignment="right" w:leader="dot"/>
      </w:r>
      <w:r>
        <w:rPr>
          <w:rFonts w:ascii="Arial" w:eastAsia="Arial" w:hAnsi="Arial" w:cs="Arial"/>
          <w:sz w:val="20"/>
          <w:szCs w:val="20"/>
        </w:rPr>
        <w:t>10</w:t>
      </w:r>
    </w:p>
    <w:p w14:paraId="6AACFE80" w14:textId="77777777" w:rsidR="00834E21" w:rsidRDefault="00000000">
      <w:pPr>
        <w:spacing w:before="60" w:after="60" w:line="300" w:lineRule="auto"/>
        <w:ind w:left="360"/>
      </w:pPr>
      <w:proofErr w:type="gramStart"/>
      <w:r>
        <w:rPr>
          <w:rFonts w:ascii="Arial" w:eastAsia="Arial" w:hAnsi="Arial" w:cs="Arial"/>
          <w:sz w:val="20"/>
          <w:szCs w:val="20"/>
        </w:rPr>
        <w:t>1.7  Reflection</w:t>
      </w:r>
      <w:proofErr w:type="gramEnd"/>
      <w:r>
        <w:rPr>
          <w:rFonts w:ascii="Arial" w:eastAsia="Arial" w:hAnsi="Arial" w:cs="Arial"/>
          <w:sz w:val="20"/>
          <w:szCs w:val="20"/>
        </w:rPr>
        <w:t xml:space="preserve"> and Critical Thinking Practices</w:t>
      </w:r>
      <w:r>
        <w:rPr>
          <w:rFonts w:ascii="Arial" w:eastAsia="Arial" w:hAnsi="Arial" w:cs="Arial"/>
          <w:sz w:val="20"/>
          <w:szCs w:val="20"/>
        </w:rPr>
        <w:ptab w:relativeTo="margin" w:alignment="right" w:leader="dot"/>
      </w:r>
      <w:r>
        <w:rPr>
          <w:rFonts w:ascii="Arial" w:eastAsia="Arial" w:hAnsi="Arial" w:cs="Arial"/>
          <w:sz w:val="20"/>
          <w:szCs w:val="20"/>
        </w:rPr>
        <w:t>12</w:t>
      </w:r>
    </w:p>
    <w:p w14:paraId="09AC5EFA" w14:textId="77777777" w:rsidR="00834E21" w:rsidRDefault="00000000">
      <w:pPr>
        <w:spacing w:before="60" w:after="60" w:line="300" w:lineRule="auto"/>
        <w:ind w:left="360"/>
      </w:pPr>
      <w:proofErr w:type="gramStart"/>
      <w:r>
        <w:rPr>
          <w:rFonts w:ascii="Arial" w:eastAsia="Arial" w:hAnsi="Arial" w:cs="Arial"/>
          <w:sz w:val="20"/>
          <w:szCs w:val="20"/>
        </w:rPr>
        <w:t>1.8  Graduate</w:t>
      </w:r>
      <w:proofErr w:type="gramEnd"/>
      <w:r>
        <w:rPr>
          <w:rFonts w:ascii="Arial" w:eastAsia="Arial" w:hAnsi="Arial" w:cs="Arial"/>
          <w:sz w:val="20"/>
          <w:szCs w:val="20"/>
        </w:rPr>
        <w:t xml:space="preserve"> Student Expectations in Applied Learning</w:t>
      </w:r>
      <w:r>
        <w:rPr>
          <w:rFonts w:ascii="Arial" w:eastAsia="Arial" w:hAnsi="Arial" w:cs="Arial"/>
          <w:sz w:val="20"/>
          <w:szCs w:val="20"/>
        </w:rPr>
        <w:ptab w:relativeTo="margin" w:alignment="right" w:leader="dot"/>
      </w:r>
      <w:r>
        <w:rPr>
          <w:rFonts w:ascii="Arial" w:eastAsia="Arial" w:hAnsi="Arial" w:cs="Arial"/>
          <w:sz w:val="20"/>
          <w:szCs w:val="20"/>
        </w:rPr>
        <w:t>13</w:t>
      </w:r>
    </w:p>
    <w:p w14:paraId="34C45491" w14:textId="77777777" w:rsidR="00834E21" w:rsidRDefault="00000000">
      <w:pPr>
        <w:spacing w:before="60" w:after="60" w:line="300" w:lineRule="auto"/>
        <w:ind w:left="360"/>
      </w:pPr>
      <w:r>
        <w:rPr>
          <w:rFonts w:ascii="Arial" w:eastAsia="Arial" w:hAnsi="Arial" w:cs="Arial"/>
          <w:sz w:val="20"/>
          <w:szCs w:val="20"/>
        </w:rPr>
        <w:t>Discussion Questions</w:t>
      </w:r>
      <w:r>
        <w:rPr>
          <w:rFonts w:ascii="Arial" w:eastAsia="Arial" w:hAnsi="Arial" w:cs="Arial"/>
          <w:sz w:val="20"/>
          <w:szCs w:val="20"/>
        </w:rPr>
        <w:ptab w:relativeTo="margin" w:alignment="right" w:leader="dot"/>
      </w:r>
      <w:r>
        <w:rPr>
          <w:rFonts w:ascii="Arial" w:eastAsia="Arial" w:hAnsi="Arial" w:cs="Arial"/>
          <w:sz w:val="20"/>
          <w:szCs w:val="20"/>
        </w:rPr>
        <w:t>14</w:t>
      </w:r>
    </w:p>
    <w:p w14:paraId="6AED1DE8" w14:textId="77777777" w:rsidR="00834E21" w:rsidRDefault="00000000">
      <w:pPr>
        <w:spacing w:before="60" w:after="60" w:line="300" w:lineRule="auto"/>
        <w:ind w:left="360"/>
      </w:pPr>
      <w:r>
        <w:rPr>
          <w:rFonts w:ascii="Arial" w:eastAsia="Arial" w:hAnsi="Arial" w:cs="Arial"/>
          <w:sz w:val="20"/>
          <w:szCs w:val="20"/>
        </w:rPr>
        <w:t>Reflection Practices</w:t>
      </w:r>
      <w:r>
        <w:rPr>
          <w:rFonts w:ascii="Arial" w:eastAsia="Arial" w:hAnsi="Arial" w:cs="Arial"/>
          <w:sz w:val="20"/>
          <w:szCs w:val="20"/>
        </w:rPr>
        <w:ptab w:relativeTo="margin" w:alignment="right" w:leader="dot"/>
      </w:r>
      <w:r>
        <w:rPr>
          <w:rFonts w:ascii="Arial" w:eastAsia="Arial" w:hAnsi="Arial" w:cs="Arial"/>
          <w:sz w:val="20"/>
          <w:szCs w:val="20"/>
        </w:rPr>
        <w:t>15</w:t>
      </w:r>
    </w:p>
    <w:p w14:paraId="25A14851" w14:textId="77777777" w:rsidR="00834E21" w:rsidRDefault="00000000">
      <w:pPr>
        <w:spacing w:before="60" w:after="60" w:line="300" w:lineRule="auto"/>
        <w:ind w:left="360"/>
      </w:pPr>
      <w:r>
        <w:rPr>
          <w:rFonts w:ascii="Arial" w:eastAsia="Arial" w:hAnsi="Arial" w:cs="Arial"/>
          <w:sz w:val="20"/>
          <w:szCs w:val="20"/>
        </w:rPr>
        <w:t>References</w:t>
      </w:r>
      <w:r>
        <w:rPr>
          <w:rFonts w:ascii="Arial" w:eastAsia="Arial" w:hAnsi="Arial" w:cs="Arial"/>
          <w:sz w:val="20"/>
          <w:szCs w:val="20"/>
        </w:rPr>
        <w:ptab w:relativeTo="margin" w:alignment="right" w:leader="dot"/>
      </w:r>
      <w:r>
        <w:rPr>
          <w:rFonts w:ascii="Arial" w:eastAsia="Arial" w:hAnsi="Arial" w:cs="Arial"/>
          <w:sz w:val="20"/>
          <w:szCs w:val="20"/>
        </w:rPr>
        <w:t>16</w:t>
      </w:r>
    </w:p>
    <w:p w14:paraId="376008A5" w14:textId="77777777" w:rsidR="00834E21" w:rsidRDefault="00000000">
      <w:pPr>
        <w:spacing w:before="60" w:after="60" w:line="300" w:lineRule="auto"/>
      </w:pPr>
      <w:r>
        <w:rPr>
          <w:rFonts w:ascii="Arial" w:eastAsia="Arial" w:hAnsi="Arial" w:cs="Arial"/>
          <w:b/>
          <w:bCs/>
          <w:sz w:val="22"/>
          <w:szCs w:val="22"/>
        </w:rPr>
        <w:t>Chapter 2: Career Pathways Through Applied Learning</w:t>
      </w:r>
      <w:r>
        <w:rPr>
          <w:rFonts w:ascii="Arial" w:eastAsia="Arial" w:hAnsi="Arial" w:cs="Arial"/>
          <w:sz w:val="22"/>
          <w:szCs w:val="22"/>
        </w:rPr>
        <w:ptab w:relativeTo="margin" w:alignment="right" w:leader="dot"/>
      </w:r>
      <w:r>
        <w:rPr>
          <w:rFonts w:ascii="Arial" w:eastAsia="Arial" w:hAnsi="Arial" w:cs="Arial"/>
          <w:sz w:val="22"/>
          <w:szCs w:val="22"/>
        </w:rPr>
        <w:t>18</w:t>
      </w:r>
    </w:p>
    <w:p w14:paraId="7A3864C6" w14:textId="77777777" w:rsidR="00834E21" w:rsidRDefault="00000000">
      <w:pPr>
        <w:spacing w:before="60" w:after="60" w:line="300" w:lineRule="auto"/>
      </w:pPr>
      <w:r>
        <w:rPr>
          <w:rFonts w:ascii="Arial" w:eastAsia="Arial" w:hAnsi="Arial" w:cs="Arial"/>
          <w:b/>
          <w:bCs/>
          <w:sz w:val="22"/>
          <w:szCs w:val="22"/>
        </w:rPr>
        <w:t>Chapter 3: The Role of Reflection, Mentorship, and Professional Identity</w:t>
      </w:r>
      <w:r>
        <w:rPr>
          <w:rFonts w:ascii="Arial" w:eastAsia="Arial" w:hAnsi="Arial" w:cs="Arial"/>
          <w:sz w:val="22"/>
          <w:szCs w:val="22"/>
        </w:rPr>
        <w:ptab w:relativeTo="margin" w:alignment="right" w:leader="dot"/>
      </w:r>
      <w:r>
        <w:rPr>
          <w:rFonts w:ascii="Arial" w:eastAsia="Arial" w:hAnsi="Arial" w:cs="Arial"/>
          <w:sz w:val="22"/>
          <w:szCs w:val="22"/>
        </w:rPr>
        <w:t>33</w:t>
      </w:r>
    </w:p>
    <w:p w14:paraId="607F0108" w14:textId="77777777" w:rsidR="00834E21" w:rsidRDefault="00834E21"/>
    <w:p w14:paraId="0357688D" w14:textId="77777777" w:rsidR="00834E21" w:rsidRDefault="00000000">
      <w:pPr>
        <w:spacing w:before="180" w:after="60"/>
      </w:pPr>
      <w:r>
        <w:rPr>
          <w:rFonts w:ascii="Arial" w:eastAsia="Arial" w:hAnsi="Arial" w:cs="Arial"/>
          <w:b/>
          <w:bCs/>
          <w:color w:val="2E4057"/>
          <w:sz w:val="20"/>
          <w:szCs w:val="20"/>
        </w:rPr>
        <w:t>UNIT II: EXPERIENTIAL LEARNING OPPORTUNITIES IN THE SPORT INDUSTRY</w:t>
      </w:r>
    </w:p>
    <w:p w14:paraId="4B529821" w14:textId="77777777" w:rsidR="00834E21" w:rsidRDefault="00000000">
      <w:pPr>
        <w:spacing w:before="60" w:after="60" w:line="300" w:lineRule="auto"/>
      </w:pPr>
      <w:r>
        <w:rPr>
          <w:rFonts w:ascii="Arial" w:eastAsia="Arial" w:hAnsi="Arial" w:cs="Arial"/>
          <w:b/>
          <w:bCs/>
          <w:sz w:val="22"/>
          <w:szCs w:val="22"/>
        </w:rPr>
        <w:t>Chapter 4: Collegiate Athletics and University-Based Experiences</w:t>
      </w:r>
      <w:r>
        <w:rPr>
          <w:rFonts w:ascii="Arial" w:eastAsia="Arial" w:hAnsi="Arial" w:cs="Arial"/>
          <w:sz w:val="22"/>
          <w:szCs w:val="22"/>
        </w:rPr>
        <w:ptab w:relativeTo="margin" w:alignment="right" w:leader="dot"/>
      </w:r>
      <w:r>
        <w:rPr>
          <w:rFonts w:ascii="Arial" w:eastAsia="Arial" w:hAnsi="Arial" w:cs="Arial"/>
          <w:sz w:val="22"/>
          <w:szCs w:val="22"/>
        </w:rPr>
        <w:t>48</w:t>
      </w:r>
    </w:p>
    <w:p w14:paraId="3AA2F897" w14:textId="77777777" w:rsidR="00834E21" w:rsidRDefault="00000000">
      <w:pPr>
        <w:spacing w:before="60" w:after="60" w:line="300" w:lineRule="auto"/>
      </w:pPr>
      <w:r>
        <w:rPr>
          <w:rFonts w:ascii="Arial" w:eastAsia="Arial" w:hAnsi="Arial" w:cs="Arial"/>
          <w:b/>
          <w:bCs/>
          <w:sz w:val="22"/>
          <w:szCs w:val="22"/>
        </w:rPr>
        <w:t>Chapter 5: Sport Sales, Sponsorship, and Revenue Generation</w:t>
      </w:r>
      <w:r>
        <w:rPr>
          <w:rFonts w:ascii="Arial" w:eastAsia="Arial" w:hAnsi="Arial" w:cs="Arial"/>
          <w:sz w:val="22"/>
          <w:szCs w:val="22"/>
        </w:rPr>
        <w:ptab w:relativeTo="margin" w:alignment="right" w:leader="dot"/>
      </w:r>
      <w:r>
        <w:rPr>
          <w:rFonts w:ascii="Arial" w:eastAsia="Arial" w:hAnsi="Arial" w:cs="Arial"/>
          <w:sz w:val="22"/>
          <w:szCs w:val="22"/>
        </w:rPr>
        <w:t>63</w:t>
      </w:r>
    </w:p>
    <w:p w14:paraId="19278117" w14:textId="77777777" w:rsidR="00834E21" w:rsidRDefault="00000000">
      <w:pPr>
        <w:spacing w:before="60" w:after="60" w:line="300" w:lineRule="auto"/>
      </w:pPr>
      <w:r>
        <w:rPr>
          <w:rFonts w:ascii="Arial" w:eastAsia="Arial" w:hAnsi="Arial" w:cs="Arial"/>
          <w:b/>
          <w:bCs/>
          <w:sz w:val="22"/>
          <w:szCs w:val="22"/>
        </w:rPr>
        <w:t>Chapter 6: Mega-Events, Sport Tourism, and Event Operations</w:t>
      </w:r>
      <w:r>
        <w:rPr>
          <w:rFonts w:ascii="Arial" w:eastAsia="Arial" w:hAnsi="Arial" w:cs="Arial"/>
          <w:sz w:val="22"/>
          <w:szCs w:val="22"/>
        </w:rPr>
        <w:ptab w:relativeTo="margin" w:alignment="right" w:leader="dot"/>
      </w:r>
      <w:r>
        <w:rPr>
          <w:rFonts w:ascii="Arial" w:eastAsia="Arial" w:hAnsi="Arial" w:cs="Arial"/>
          <w:sz w:val="22"/>
          <w:szCs w:val="22"/>
        </w:rPr>
        <w:t>77</w:t>
      </w:r>
    </w:p>
    <w:p w14:paraId="1B9006BB" w14:textId="77777777" w:rsidR="00834E21" w:rsidRDefault="00000000">
      <w:pPr>
        <w:spacing w:before="60" w:after="60" w:line="300" w:lineRule="auto"/>
      </w:pPr>
      <w:r>
        <w:rPr>
          <w:rFonts w:ascii="Arial" w:eastAsia="Arial" w:hAnsi="Arial" w:cs="Arial"/>
          <w:b/>
          <w:bCs/>
          <w:sz w:val="22"/>
          <w:szCs w:val="22"/>
        </w:rPr>
        <w:t>Chapter 7: Community Engagement and Service Learning</w:t>
      </w:r>
      <w:r>
        <w:rPr>
          <w:rFonts w:ascii="Arial" w:eastAsia="Arial" w:hAnsi="Arial" w:cs="Arial"/>
          <w:sz w:val="22"/>
          <w:szCs w:val="22"/>
        </w:rPr>
        <w:ptab w:relativeTo="margin" w:alignment="right" w:leader="dot"/>
      </w:r>
      <w:r>
        <w:rPr>
          <w:rFonts w:ascii="Arial" w:eastAsia="Arial" w:hAnsi="Arial" w:cs="Arial"/>
          <w:sz w:val="22"/>
          <w:szCs w:val="22"/>
        </w:rPr>
        <w:t>92</w:t>
      </w:r>
    </w:p>
    <w:p w14:paraId="7F5EF052" w14:textId="77777777" w:rsidR="00834E21" w:rsidRDefault="00834E21"/>
    <w:p w14:paraId="7836896C" w14:textId="77777777" w:rsidR="00834E21" w:rsidRDefault="00000000">
      <w:pPr>
        <w:spacing w:before="180" w:after="60"/>
      </w:pPr>
      <w:r>
        <w:rPr>
          <w:rFonts w:ascii="Arial" w:eastAsia="Arial" w:hAnsi="Arial" w:cs="Arial"/>
          <w:b/>
          <w:bCs/>
          <w:color w:val="2E4057"/>
          <w:sz w:val="20"/>
          <w:szCs w:val="20"/>
        </w:rPr>
        <w:t>UNIT III: LEADERSHIP, NETWORKING, AND PROFESSIONAL ADVANCEMENT</w:t>
      </w:r>
    </w:p>
    <w:p w14:paraId="5F42FC61" w14:textId="77777777" w:rsidR="00834E21" w:rsidRDefault="00000000">
      <w:pPr>
        <w:spacing w:before="60" w:after="60" w:line="300" w:lineRule="auto"/>
      </w:pPr>
      <w:r>
        <w:rPr>
          <w:rFonts w:ascii="Arial" w:eastAsia="Arial" w:hAnsi="Arial" w:cs="Arial"/>
          <w:b/>
          <w:bCs/>
          <w:sz w:val="22"/>
          <w:szCs w:val="22"/>
        </w:rPr>
        <w:t>Chapter 8: Maximizing Networking Opportunities in Sport Management</w:t>
      </w:r>
      <w:r>
        <w:rPr>
          <w:rFonts w:ascii="Arial" w:eastAsia="Arial" w:hAnsi="Arial" w:cs="Arial"/>
          <w:sz w:val="22"/>
          <w:szCs w:val="22"/>
        </w:rPr>
        <w:ptab w:relativeTo="margin" w:alignment="right" w:leader="dot"/>
      </w:r>
      <w:r>
        <w:rPr>
          <w:rFonts w:ascii="Arial" w:eastAsia="Arial" w:hAnsi="Arial" w:cs="Arial"/>
          <w:sz w:val="22"/>
          <w:szCs w:val="22"/>
        </w:rPr>
        <w:t>105</w:t>
      </w:r>
    </w:p>
    <w:p w14:paraId="27D8F0BA" w14:textId="77777777" w:rsidR="00834E21" w:rsidRDefault="00000000">
      <w:pPr>
        <w:spacing w:before="60" w:after="60" w:line="300" w:lineRule="auto"/>
      </w:pPr>
      <w:r>
        <w:rPr>
          <w:rFonts w:ascii="Arial" w:eastAsia="Arial" w:hAnsi="Arial" w:cs="Arial"/>
          <w:b/>
          <w:bCs/>
          <w:sz w:val="22"/>
          <w:szCs w:val="22"/>
        </w:rPr>
        <w:t>Chapter 9: Leadership Development Through Experiential Learning</w:t>
      </w:r>
      <w:r>
        <w:rPr>
          <w:rFonts w:ascii="Arial" w:eastAsia="Arial" w:hAnsi="Arial" w:cs="Arial"/>
          <w:sz w:val="22"/>
          <w:szCs w:val="22"/>
        </w:rPr>
        <w:ptab w:relativeTo="margin" w:alignment="right" w:leader="dot"/>
      </w:r>
      <w:r>
        <w:rPr>
          <w:rFonts w:ascii="Arial" w:eastAsia="Arial" w:hAnsi="Arial" w:cs="Arial"/>
          <w:sz w:val="22"/>
          <w:szCs w:val="22"/>
        </w:rPr>
        <w:t>119</w:t>
      </w:r>
    </w:p>
    <w:p w14:paraId="4897E118" w14:textId="77777777" w:rsidR="00834E21" w:rsidRDefault="00000000">
      <w:pPr>
        <w:spacing w:before="60" w:after="60" w:line="300" w:lineRule="auto"/>
      </w:pPr>
      <w:r>
        <w:rPr>
          <w:rFonts w:ascii="Arial" w:eastAsia="Arial" w:hAnsi="Arial" w:cs="Arial"/>
          <w:b/>
          <w:bCs/>
          <w:sz w:val="22"/>
          <w:szCs w:val="22"/>
        </w:rPr>
        <w:t>Chapter 10: Building a Personal Brand and Career Roadmap</w:t>
      </w:r>
      <w:r>
        <w:rPr>
          <w:rFonts w:ascii="Arial" w:eastAsia="Arial" w:hAnsi="Arial" w:cs="Arial"/>
          <w:sz w:val="22"/>
          <w:szCs w:val="22"/>
        </w:rPr>
        <w:ptab w:relativeTo="margin" w:alignment="right" w:leader="dot"/>
      </w:r>
      <w:r>
        <w:rPr>
          <w:rFonts w:ascii="Arial" w:eastAsia="Arial" w:hAnsi="Arial" w:cs="Arial"/>
          <w:sz w:val="22"/>
          <w:szCs w:val="22"/>
        </w:rPr>
        <w:t>134</w:t>
      </w:r>
    </w:p>
    <w:p w14:paraId="05A3212D" w14:textId="77777777" w:rsidR="00834E21" w:rsidRDefault="00834E21"/>
    <w:p w14:paraId="5E3C6B73" w14:textId="77777777" w:rsidR="00834E21" w:rsidRDefault="00000000">
      <w:pPr>
        <w:spacing w:before="180" w:after="60"/>
      </w:pPr>
      <w:r>
        <w:rPr>
          <w:rFonts w:ascii="Arial" w:eastAsia="Arial" w:hAnsi="Arial" w:cs="Arial"/>
          <w:b/>
          <w:bCs/>
          <w:color w:val="2E4057"/>
          <w:sz w:val="20"/>
          <w:szCs w:val="20"/>
        </w:rPr>
        <w:t>BACK MATTER</w:t>
      </w:r>
    </w:p>
    <w:p w14:paraId="4EF30C25" w14:textId="77777777" w:rsidR="00834E21" w:rsidRDefault="00000000">
      <w:pPr>
        <w:spacing w:before="60" w:after="60" w:line="300" w:lineRule="auto"/>
      </w:pPr>
      <w:r>
        <w:rPr>
          <w:rFonts w:ascii="Arial" w:eastAsia="Arial" w:hAnsi="Arial" w:cs="Arial"/>
          <w:b/>
          <w:bCs/>
          <w:sz w:val="22"/>
          <w:szCs w:val="22"/>
        </w:rPr>
        <w:lastRenderedPageBreak/>
        <w:t>Appendix A: Sample Internship Learning Contract</w:t>
      </w:r>
      <w:r>
        <w:rPr>
          <w:rFonts w:ascii="Arial" w:eastAsia="Arial" w:hAnsi="Arial" w:cs="Arial"/>
          <w:sz w:val="22"/>
          <w:szCs w:val="22"/>
        </w:rPr>
        <w:ptab w:relativeTo="margin" w:alignment="right" w:leader="dot"/>
      </w:r>
      <w:r>
        <w:rPr>
          <w:rFonts w:ascii="Arial" w:eastAsia="Arial" w:hAnsi="Arial" w:cs="Arial"/>
          <w:sz w:val="22"/>
          <w:szCs w:val="22"/>
        </w:rPr>
        <w:t>149</w:t>
      </w:r>
    </w:p>
    <w:p w14:paraId="5D25BA76" w14:textId="77777777" w:rsidR="00834E21" w:rsidRDefault="00000000">
      <w:pPr>
        <w:spacing w:before="60" w:after="60" w:line="300" w:lineRule="auto"/>
      </w:pPr>
      <w:r>
        <w:rPr>
          <w:rFonts w:ascii="Arial" w:eastAsia="Arial" w:hAnsi="Arial" w:cs="Arial"/>
          <w:b/>
          <w:bCs/>
          <w:sz w:val="22"/>
          <w:szCs w:val="22"/>
        </w:rPr>
        <w:t>Appendix B: Reflection Journal Templates</w:t>
      </w:r>
      <w:r>
        <w:rPr>
          <w:rFonts w:ascii="Arial" w:eastAsia="Arial" w:hAnsi="Arial" w:cs="Arial"/>
          <w:sz w:val="22"/>
          <w:szCs w:val="22"/>
        </w:rPr>
        <w:ptab w:relativeTo="margin" w:alignment="right" w:leader="dot"/>
      </w:r>
      <w:r>
        <w:rPr>
          <w:rFonts w:ascii="Arial" w:eastAsia="Arial" w:hAnsi="Arial" w:cs="Arial"/>
          <w:sz w:val="22"/>
          <w:szCs w:val="22"/>
        </w:rPr>
        <w:t>151</w:t>
      </w:r>
    </w:p>
    <w:p w14:paraId="0B6F249A" w14:textId="77777777" w:rsidR="00834E21" w:rsidRDefault="00000000">
      <w:pPr>
        <w:spacing w:before="60" w:after="60" w:line="300" w:lineRule="auto"/>
      </w:pPr>
      <w:r>
        <w:rPr>
          <w:rFonts w:ascii="Arial" w:eastAsia="Arial" w:hAnsi="Arial" w:cs="Arial"/>
          <w:b/>
          <w:bCs/>
          <w:sz w:val="22"/>
          <w:szCs w:val="22"/>
        </w:rPr>
        <w:t>Appendix C: Professional Portfolio Checklist</w:t>
      </w:r>
      <w:r>
        <w:rPr>
          <w:rFonts w:ascii="Arial" w:eastAsia="Arial" w:hAnsi="Arial" w:cs="Arial"/>
          <w:sz w:val="22"/>
          <w:szCs w:val="22"/>
        </w:rPr>
        <w:ptab w:relativeTo="margin" w:alignment="right" w:leader="dot"/>
      </w:r>
      <w:r>
        <w:rPr>
          <w:rFonts w:ascii="Arial" w:eastAsia="Arial" w:hAnsi="Arial" w:cs="Arial"/>
          <w:sz w:val="22"/>
          <w:szCs w:val="22"/>
        </w:rPr>
        <w:t>153</w:t>
      </w:r>
    </w:p>
    <w:p w14:paraId="3DD6FC2D" w14:textId="77777777" w:rsidR="00834E21" w:rsidRDefault="00000000">
      <w:pPr>
        <w:spacing w:before="60" w:after="60" w:line="300" w:lineRule="auto"/>
      </w:pPr>
      <w:r>
        <w:rPr>
          <w:rFonts w:ascii="Arial" w:eastAsia="Arial" w:hAnsi="Arial" w:cs="Arial"/>
          <w:b/>
          <w:bCs/>
          <w:sz w:val="22"/>
          <w:szCs w:val="22"/>
        </w:rPr>
        <w:t>Master Reference List</w:t>
      </w:r>
      <w:r>
        <w:rPr>
          <w:rFonts w:ascii="Arial" w:eastAsia="Arial" w:hAnsi="Arial" w:cs="Arial"/>
          <w:sz w:val="22"/>
          <w:szCs w:val="22"/>
        </w:rPr>
        <w:ptab w:relativeTo="margin" w:alignment="right" w:leader="dot"/>
      </w:r>
      <w:r>
        <w:rPr>
          <w:rFonts w:ascii="Arial" w:eastAsia="Arial" w:hAnsi="Arial" w:cs="Arial"/>
          <w:sz w:val="22"/>
          <w:szCs w:val="22"/>
        </w:rPr>
        <w:t>165</w:t>
      </w:r>
    </w:p>
    <w:p w14:paraId="7B951A38" w14:textId="77777777" w:rsidR="00834E21" w:rsidRDefault="00000000">
      <w:r>
        <w:br w:type="page"/>
      </w:r>
    </w:p>
    <w:p w14:paraId="221BC850" w14:textId="77777777" w:rsidR="00834E21" w:rsidRDefault="00000000">
      <w:pPr>
        <w:pStyle w:val="Heading1"/>
        <w:spacing w:after="120"/>
      </w:pPr>
      <w:r>
        <w:lastRenderedPageBreak/>
        <w:t>Preface</w:t>
      </w:r>
    </w:p>
    <w:p w14:paraId="1EE0632E" w14:textId="77777777" w:rsidR="00834E21" w:rsidRDefault="00000000">
      <w:pPr>
        <w:spacing w:after="160" w:line="360" w:lineRule="auto"/>
        <w:ind w:firstLine="720"/>
        <w:jc w:val="both"/>
      </w:pPr>
      <w:r>
        <w:t>Sport management has evolved significantly as an academic discipline over the past four decades, expanding from a small cluster of programs focused on physical education administration to a robust field encompassing intercollegiate athletics, professional sport franchises, event management, sport tourism, sponsorship, esports, and community recreation (Perry et al., 2022). As the industry has grown, so too has the expectation that graduates enter the workforce with not only theoretical knowledge but demonstrable applied competencies. This textbook was developed to meet that need by connecting scholarly theory with actionable, experiential practice.</w:t>
      </w:r>
    </w:p>
    <w:p w14:paraId="2149A571" w14:textId="77777777" w:rsidR="00834E21" w:rsidRDefault="00000000">
      <w:pPr>
        <w:spacing w:after="160" w:line="360" w:lineRule="auto"/>
        <w:ind w:firstLine="720"/>
        <w:jc w:val="both"/>
      </w:pPr>
      <w:r>
        <w:t xml:space="preserve">The guiding premise of this work is that learning is most durable and transferable when students engage directly with the contexts in which knowledge will be applied. Kolb (1984), whose foundational Experiential Learning Theory (ELT) frames much of this textbook, argued that "learning is the process whereby knowledge is created through the transformation of experience" (as cited in </w:t>
      </w:r>
      <w:proofErr w:type="spellStart"/>
      <w:r>
        <w:t>Clinciu</w:t>
      </w:r>
      <w:proofErr w:type="spellEnd"/>
      <w:r>
        <w:t>, 2023, p. 264). That conviction is embedded throughout every chapter, every case study, and every reflection prompt found herein.</w:t>
      </w:r>
    </w:p>
    <w:p w14:paraId="215CAFB4" w14:textId="77777777" w:rsidR="00834E21" w:rsidRDefault="00000000">
      <w:pPr>
        <w:spacing w:after="160" w:line="360" w:lineRule="auto"/>
        <w:ind w:firstLine="720"/>
        <w:jc w:val="both"/>
      </w:pPr>
      <w:r>
        <w:t>This textbook is organized into three thematic units. Unit I establishes the conceptual foundations of experiential learning in sport management, drawing heavily from higher education pedagogy and career development research. Unit II examines the major experiential settings available to sport management graduate students, from collegiate athletic departments and sport sales competitions to mega-events, community organizations, and nonprofit contexts. Unit III advances the practitioner skill set by addressing networking strategy, leadership development, and personal branding within the sport industry.</w:t>
      </w:r>
    </w:p>
    <w:p w14:paraId="7BCD4316" w14:textId="77777777" w:rsidR="00834E21" w:rsidRDefault="00000000">
      <w:pPr>
        <w:spacing w:after="160" w:line="360" w:lineRule="auto"/>
        <w:ind w:firstLine="720"/>
        <w:jc w:val="both"/>
      </w:pPr>
      <w:r>
        <w:t>Each chapter is written at the graduate level and integrates peer-reviewed scholarship from sport management, leadership studies, career development, and adjacent disciplines. All citations follow the Publication Manual of the American Psychological Association (7th edition). Every chapter concludes with a set of Discussion Questions designed to stimulate critical dialogue and a series of Reflection Practices to support deep, iterative learning.</w:t>
      </w:r>
    </w:p>
    <w:p w14:paraId="0C9393C3" w14:textId="77777777" w:rsidR="00834E21" w:rsidRDefault="00000000">
      <w:pPr>
        <w:spacing w:after="160" w:line="360" w:lineRule="auto"/>
        <w:ind w:firstLine="720"/>
        <w:jc w:val="both"/>
      </w:pPr>
      <w:r>
        <w:t xml:space="preserve">This text is intended for graduate students in sport management, athletic administration, kinesiology, recreation management, and event management, as well as faculty members seeking applied learning frameworks for curriculum development. It may be used as a primary text in </w:t>
      </w:r>
      <w:r>
        <w:lastRenderedPageBreak/>
        <w:t>practicum, internship, or capstone courses, or as a supplemental resource in leadership, organizational behavior, or sport industry overview courses.</w:t>
      </w:r>
    </w:p>
    <w:p w14:paraId="1498618E" w14:textId="77777777" w:rsidR="00834E21" w:rsidRDefault="00000000">
      <w:r>
        <w:br w:type="page"/>
      </w:r>
    </w:p>
    <w:p w14:paraId="34E34387" w14:textId="77777777" w:rsidR="00834E21" w:rsidRDefault="00000000">
      <w:pPr>
        <w:pStyle w:val="Heading1"/>
        <w:spacing w:after="120"/>
      </w:pPr>
      <w:r>
        <w:lastRenderedPageBreak/>
        <w:t>Chapter 1: Introduction to Experiential Learning in Sport Management</w:t>
      </w:r>
    </w:p>
    <w:p w14:paraId="0DA25BB3" w14:textId="77777777" w:rsidR="00834E21" w:rsidRDefault="00000000">
      <w:pPr>
        <w:pStyle w:val="Heading2"/>
        <w:spacing w:after="120"/>
      </w:pPr>
      <w:r>
        <w:t>1.1 Defining Experiential Learning</w:t>
      </w:r>
    </w:p>
    <w:p w14:paraId="28A4AAB6" w14:textId="77777777" w:rsidR="00834E21" w:rsidRDefault="00000000">
      <w:pPr>
        <w:spacing w:after="160" w:line="360" w:lineRule="auto"/>
        <w:ind w:firstLine="720"/>
        <w:jc w:val="both"/>
      </w:pPr>
      <w:r>
        <w:t>Experiential learning is broadly understood as a pedagogical approach in which direct, concrete experience serves as the primary vehicle for knowledge construction. Unlike passive instructional models that position learners as recipients of transmitted content, experiential learning positions learners as active agents who acquire competence by doing, reflecting, analyzing, and experimenting. The seminal articulation of this approach is found in the work of David Kolb, whose Experiential Learning Theory (ELT) proposed that learning proceeds through a four-stage cycle: concrete experience, reflective observation, abstract conceptualization, and active experimentation (</w:t>
      </w:r>
      <w:proofErr w:type="spellStart"/>
      <w:r>
        <w:t>Clinciu</w:t>
      </w:r>
      <w:proofErr w:type="spellEnd"/>
      <w:r>
        <w:t>, 2023). This cyclical model has been widely adopted across professional education programs globally because it captures the recursive nature of skill development in complex organizational settings.</w:t>
      </w:r>
    </w:p>
    <w:p w14:paraId="5035C2EF" w14:textId="78010EEA" w:rsidR="00834E21" w:rsidRDefault="00000000">
      <w:pPr>
        <w:spacing w:after="160" w:line="360" w:lineRule="auto"/>
        <w:ind w:firstLine="720"/>
        <w:jc w:val="both"/>
      </w:pPr>
      <w:r>
        <w:t>In the sport management context, experiential learning encompasses a broad range of structured activities</w:t>
      </w:r>
      <w:r w:rsidR="005E4E01">
        <w:t>,</w:t>
      </w:r>
      <w:r>
        <w:t xml:space="preserve"> including internships, graduate assistantships, practicum placements, service-learning projects, sales competitions, event volunteering, and consulting engagements. McNiff et al. (2014) emphasized that hands-on learning in the sports industry through such opportunities is </w:t>
      </w:r>
      <w:r w:rsidR="005E4E01">
        <w:t>essential preparation for employment in the sports industry, providing students with valuable learning and networking opportunities</w:t>
      </w:r>
      <w:r>
        <w:t xml:space="preserve"> in the field. This observation reflects a widely shared consensus in the sport management literature that classroom instruction alone is insufficient to prepare graduates for the demands of professional practice.</w:t>
      </w:r>
    </w:p>
    <w:p w14:paraId="39843B38" w14:textId="77777777" w:rsidR="00834E21" w:rsidRDefault="00000000">
      <w:pPr>
        <w:spacing w:after="160" w:line="360" w:lineRule="auto"/>
        <w:ind w:firstLine="720"/>
        <w:jc w:val="both"/>
      </w:pPr>
      <w:r>
        <w:t>It is important, however, to distinguish experiential learning from incidental or unstructured work experience. Effective experiential learning is intentional and pedagogically framed. It requires that students be supported in connecting practice to theory through guided reflection, mentorship, and assessment. When these elements are absent, experiential placements risk becoming merely instrumental, exposing students to industry norms without fostering the critical analysis and adaptive competence that characterize genuine professional development (Odio &amp; Menaker, 2023).</w:t>
      </w:r>
    </w:p>
    <w:p w14:paraId="13FB9B6A" w14:textId="77777777" w:rsidR="005E4E01" w:rsidRDefault="005E4E01">
      <w:pPr>
        <w:spacing w:after="160" w:line="360" w:lineRule="auto"/>
        <w:ind w:firstLine="720"/>
        <w:jc w:val="both"/>
      </w:pPr>
    </w:p>
    <w:p w14:paraId="20E09881" w14:textId="77777777" w:rsidR="00834E21" w:rsidRDefault="00000000">
      <w:pPr>
        <w:pStyle w:val="Heading2"/>
        <w:spacing w:after="120"/>
      </w:pPr>
      <w:r>
        <w:lastRenderedPageBreak/>
        <w:t>1.2 Historical Development in Higher Education</w:t>
      </w:r>
    </w:p>
    <w:p w14:paraId="63475970" w14:textId="77777777" w:rsidR="00834E21" w:rsidRDefault="00000000">
      <w:pPr>
        <w:spacing w:after="160" w:line="360" w:lineRule="auto"/>
        <w:ind w:firstLine="720"/>
        <w:jc w:val="both"/>
      </w:pPr>
      <w:r>
        <w:t>The intellectual roots of experiential learning in American higher education trace to the progressive education movement of the early twentieth century, particularly the philosophical contributions of John Dewey, who argued that authentic education requires continuity and interaction between the learner and the environment. Dewey's conviction that students learn best when they encounter genuine problems in real contexts profoundly influenced subsequent theorists. In the late twentieth century, David Kolb synthesized contributions from Dewey, Jean Piaget, William James, Carl Jung, and Carl Rogers into the integrated framework now known as ELT (Hayden &amp; Osborn, 2020). ELT integrates six shared propositions derived from these thinkers and has since become one of the most widely cited frameworks in professional education.</w:t>
      </w:r>
    </w:p>
    <w:p w14:paraId="433F0FF4" w14:textId="77777777" w:rsidR="00834E21" w:rsidRDefault="00000000">
      <w:pPr>
        <w:spacing w:after="160" w:line="360" w:lineRule="auto"/>
        <w:ind w:firstLine="720"/>
        <w:jc w:val="both"/>
      </w:pPr>
      <w:r>
        <w:t>In sport management specifically, the development of experiential learning as a curricular component paralleled the growth of the field itself. Early sport management programs developed during the 1960s and 1970s were heavily oriented toward physical education and coaching, but the emergence of professional sport as a major economic sector during the 1980s prompted a shift toward business-oriented curricula that included mandatory internship requirements. Perry et al. (2022) noted that the sport management curriculum has continued to adapt in response to industry evolution, with new courses emerging around analytics, esports, and digital marketing while retaining a core commitment to applied learning.</w:t>
      </w:r>
    </w:p>
    <w:p w14:paraId="6553DD8D" w14:textId="6CCF80AD" w:rsidR="00834E21" w:rsidRDefault="00000000">
      <w:pPr>
        <w:spacing w:after="160" w:line="360" w:lineRule="auto"/>
        <w:ind w:firstLine="720"/>
        <w:jc w:val="both"/>
      </w:pPr>
      <w:r>
        <w:t xml:space="preserve">Accreditation frameworks have reinforced this commitment. The Commission on Sport Management Accreditation (COSMA) identifies experiential learning as an integral component of </w:t>
      </w:r>
      <w:r w:rsidR="005E4E01">
        <w:t xml:space="preserve">the </w:t>
      </w:r>
      <w:r>
        <w:t xml:space="preserve">sport management curriculum, recognizing it as critical to </w:t>
      </w:r>
      <w:r w:rsidR="005E4E01">
        <w:t>assessing</w:t>
      </w:r>
      <w:r>
        <w:t xml:space="preserve"> students as they apply or observe what </w:t>
      </w:r>
      <w:r w:rsidR="005E4E01">
        <w:t>they have</w:t>
      </w:r>
      <w:r>
        <w:t xml:space="preserve"> learned in the classroom (Perry et al., 2022). As a result, the vast majority of sport management undergraduate programs in the United States require mandatory internship credit hours, and graduate programs increasingly embed multiple applied learning touchpoints across their curricula.</w:t>
      </w:r>
    </w:p>
    <w:p w14:paraId="5D67693A" w14:textId="77777777" w:rsidR="00834E21" w:rsidRDefault="00000000">
      <w:pPr>
        <w:pStyle w:val="Heading2"/>
        <w:spacing w:after="120"/>
      </w:pPr>
      <w:r>
        <w:t>1.3 Kolb's Experiential Learning Theory</w:t>
      </w:r>
    </w:p>
    <w:p w14:paraId="633CAB56" w14:textId="77777777" w:rsidR="00834E21" w:rsidRDefault="00000000">
      <w:pPr>
        <w:spacing w:after="160" w:line="360" w:lineRule="auto"/>
        <w:ind w:firstLine="720"/>
        <w:jc w:val="both"/>
      </w:pPr>
      <w:r>
        <w:t xml:space="preserve">Kolb's Experiential Learning Theory remains the dominant theoretical lens through which sport management educators understand and design applied learning experiences. The theory describes learning as a cyclical, recursive process moving through four stages. In the first stage, </w:t>
      </w:r>
      <w:r>
        <w:lastRenderedPageBreak/>
        <w:t xml:space="preserve">concrete experience, the learner engages directly with a task, event, or situation. In the second stage, reflective observation, the learner steps back to observe and think about the experience from multiple perspectives. In the third stage, abstract conceptualization, the learner draws on theory and prior knowledge to develop generalizations or principles from the experience. In the fourth stage, active experimentation, the learner tests these generalizations in new situations, which in turn generates new concrete experiences (Kapyla &amp; </w:t>
      </w:r>
      <w:proofErr w:type="spellStart"/>
      <w:r>
        <w:t>Palvalin</w:t>
      </w:r>
      <w:proofErr w:type="spellEnd"/>
      <w:r>
        <w:t>, 2023).</w:t>
      </w:r>
    </w:p>
    <w:p w14:paraId="2985F735" w14:textId="77777777" w:rsidR="00834E21" w:rsidRDefault="00000000">
      <w:pPr>
        <w:spacing w:after="160" w:line="360" w:lineRule="auto"/>
        <w:ind w:firstLine="720"/>
        <w:jc w:val="both"/>
      </w:pPr>
      <w:r>
        <w:t>Kolb also identified four distinct learning styles associated with preferences for particular stages of the cycle: diverging (concrete experience and reflective observation), assimilating (abstract conceptualization and reflective observation), converging (abstract conceptualization and active experimentation), and accommodating (concrete experience and active experimentation). Sport management educators who design experiential curricula benefit from recognizing these individual differences, ensuring that course structures engage multiple learning modalities and that reflection activities are varied in format. Baker et al. (2012) argued that agricultural educators, an analogous professional field with strong experiential traditions, must be present and purposeful when providing experiences for students, asking reflection questions throughout each phase of ELT. The same imperative applies directly to sport management faculty supervising internships and practicum placements.</w:t>
      </w:r>
    </w:p>
    <w:p w14:paraId="1369747D" w14:textId="77777777" w:rsidR="00834E21" w:rsidRDefault="00000000">
      <w:pPr>
        <w:spacing w:after="160" w:line="360" w:lineRule="auto"/>
        <w:ind w:firstLine="720"/>
        <w:jc w:val="both"/>
      </w:pPr>
      <w:r>
        <w:t>Importantly, Kolb's framework positions reflection as the mechanism by which raw experience is converted into learning. Without structured reflection, students may complete hours in an athletic department or event organization without meaningfully interrogating what they observed, why decisions were made, and how those decisions connect to organizational theory. This is why reflection journals, mentor debriefs, and supervisory feedback are not peripheral elements of experiential programs but are central to their educational value.</w:t>
      </w:r>
    </w:p>
    <w:p w14:paraId="4FA696C8" w14:textId="77777777" w:rsidR="00834E21" w:rsidRDefault="00000000">
      <w:pPr>
        <w:spacing w:before="200" w:after="80"/>
        <w:jc w:val="center"/>
      </w:pPr>
      <w:r>
        <w:rPr>
          <w:noProof/>
        </w:rPr>
        <w:lastRenderedPageBreak/>
        <w:drawing>
          <wp:inline distT="0" distB="0" distL="0" distR="0" wp14:anchorId="58C2F27E" wp14:editId="49DDAE01">
            <wp:extent cx="5486400" cy="4391025"/>
            <wp:effectExtent l="0" t="0" r="0" b="0"/>
            <wp:docPr id="1" name="Figure 1.1. Kolb’s (1984) four-stage experiential learning cycle." descr="Figure 1.1. Kolb’s (1984) four-stage experiential learning cycle." title="Figure 1.1. Kolb’s (1984) four-stage experiential learning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486400" cy="4391025"/>
                    </a:xfrm>
                    <a:prstGeom prst="rect">
                      <a:avLst/>
                    </a:prstGeom>
                  </pic:spPr>
                </pic:pic>
              </a:graphicData>
            </a:graphic>
          </wp:inline>
        </w:drawing>
      </w:r>
    </w:p>
    <w:p w14:paraId="44F35969" w14:textId="77777777" w:rsidR="00834E21" w:rsidRDefault="00000000">
      <w:pPr>
        <w:spacing w:after="200"/>
        <w:jc w:val="center"/>
      </w:pPr>
      <w:r>
        <w:rPr>
          <w:rFonts w:ascii="Arial" w:eastAsia="Arial" w:hAnsi="Arial" w:cs="Arial"/>
          <w:i/>
          <w:iCs/>
          <w:color w:val="555555"/>
          <w:sz w:val="20"/>
          <w:szCs w:val="20"/>
        </w:rPr>
        <w:t>Figure 1.1. Kolb’s (1984) four-stage experiential learning cycle.</w:t>
      </w:r>
    </w:p>
    <w:p w14:paraId="46B9FA6B" w14:textId="77777777" w:rsidR="00834E21" w:rsidRDefault="00000000">
      <w:pPr>
        <w:spacing w:after="160" w:line="360" w:lineRule="auto"/>
        <w:ind w:firstLine="720"/>
        <w:jc w:val="both"/>
      </w:pPr>
      <w:r>
        <w:t xml:space="preserve">The breadth of Kolb's influence in professional education reflects the theory's remarkable adaptability across disciplines. </w:t>
      </w:r>
      <w:proofErr w:type="spellStart"/>
      <w:r>
        <w:t>Clinciu</w:t>
      </w:r>
      <w:proofErr w:type="spellEnd"/>
      <w:r>
        <w:t xml:space="preserve"> (2023) demonstrated its applicability in engineering education, documenting that the ELT cycle maps effectively onto laboratory and project-based learning contexts that share important structural features with sport management applied settings. The common denominator across disciplines is the same: learning that sticks is learning that has been applied, reflected upon, and connected to larger frameworks of understanding. Sport management educators who design their experiential components with explicit reference to each stage of Kolb's cycle, rather than treating applied learning as simply time in the field, produce students who develop more transferable and analytically sophisticated professional competencies.</w:t>
      </w:r>
    </w:p>
    <w:p w14:paraId="67C8BC93" w14:textId="77777777" w:rsidR="00834E21" w:rsidRDefault="00000000">
      <w:pPr>
        <w:spacing w:after="160" w:line="360" w:lineRule="auto"/>
        <w:ind w:firstLine="720"/>
        <w:jc w:val="both"/>
      </w:pPr>
      <w:r>
        <w:t xml:space="preserve">Guidotti et al. (2023) found in their umbrella review of sport management knowledge, competencies, and skills that soft skills including communication, leadership, and stakeholder management were among the highest-priority competencies identified across the sport management profession. These are precisely the competencies that different learners develop most </w:t>
      </w:r>
      <w:r>
        <w:lastRenderedPageBreak/>
        <w:t>effectively in different applied contexts. A truly comprehensive experiential learning program will be designed to develop these competencies across diverse learning modalities, not only the most common ones, and will treat the selection and sequencing of applied learning opportunities as a deliberate curriculum design decision rather than an ad hoc arrangement.</w:t>
      </w:r>
    </w:p>
    <w:p w14:paraId="1AF74E36" w14:textId="77777777" w:rsidR="00834E21" w:rsidRDefault="00000000">
      <w:pPr>
        <w:pStyle w:val="Heading2"/>
        <w:spacing w:after="120"/>
      </w:pPr>
      <w:r>
        <w:t>1.4 Applied Learning Versus Traditional Classroom Instruction</w:t>
      </w:r>
    </w:p>
    <w:p w14:paraId="1C803C4B" w14:textId="77777777" w:rsidR="00834E21" w:rsidRDefault="00000000">
      <w:pPr>
        <w:spacing w:after="160" w:line="360" w:lineRule="auto"/>
        <w:ind w:firstLine="720"/>
        <w:jc w:val="both"/>
      </w:pPr>
      <w:r>
        <w:t>The distinction between applied and traditional classroom learning is not a simple binary but a spectrum. Traditional lecture-based instruction offers advantages in efficiently conveying foundational concepts, theoretical frameworks, and historical context. However, it is less effective at developing the adaptive, situational competencies that professional contexts demand. Applied learning environments present students with authentic challenges that require integrating knowledge from multiple domains, exercising judgment under uncertainty, and building interpersonal skills that are difficult to simulate in a classroom.</w:t>
      </w:r>
    </w:p>
    <w:p w14:paraId="7E95D871" w14:textId="77777777" w:rsidR="00834E21" w:rsidRDefault="00000000">
      <w:pPr>
        <w:spacing w:after="160" w:line="360" w:lineRule="auto"/>
        <w:ind w:firstLine="720"/>
        <w:jc w:val="both"/>
      </w:pPr>
      <w:r>
        <w:t>Research consistently documents the value of applied learning for career outcomes. Tiessen et al. (2019) surveyed over 1,900 program alumni and found that documenting graduate perspectives on the relationship between experiential learning and career paths can inform current program opportunities and highlight the relationship between work-integrated learning and career success. Similarly, Abdul Shukor and Mohamad Nor (2024) found that students who participated in experiential learning activities demonstrated improved confidence, interest, and knowledge in professional selling compared to those who did not, and that interest in selling was associated with the student's intention to pursue a career in selling.</w:t>
      </w:r>
    </w:p>
    <w:p w14:paraId="559D6707" w14:textId="77777777" w:rsidR="00834E21" w:rsidRDefault="00000000">
      <w:pPr>
        <w:spacing w:after="160" w:line="360" w:lineRule="auto"/>
        <w:ind w:firstLine="720"/>
        <w:jc w:val="both"/>
      </w:pPr>
      <w:r>
        <w:t>These findings are particularly relevant for sport management programs, where the pathway from academic preparation to employment is highly competitive. A degree alone is no longer sufficient to differentiate candidates in a labor market characterized by a low supply of desirable positions relative to the large number of program graduates. Applied learning provides students with tangible evidence of competence, a professional network, and the self-efficacy that comes from having successfully navigated real organizational challenges.</w:t>
      </w:r>
    </w:p>
    <w:p w14:paraId="12865AAD" w14:textId="77777777" w:rsidR="00834E21" w:rsidRDefault="00000000">
      <w:pPr>
        <w:pStyle w:val="Heading2"/>
        <w:spacing w:after="120"/>
      </w:pPr>
      <w:r>
        <w:t>1.5 Why Experiential Learning Matters in Sport Management</w:t>
      </w:r>
    </w:p>
    <w:p w14:paraId="47515E3D" w14:textId="77777777" w:rsidR="00834E21" w:rsidRDefault="00000000">
      <w:pPr>
        <w:spacing w:after="160" w:line="360" w:lineRule="auto"/>
        <w:ind w:firstLine="720"/>
        <w:jc w:val="both"/>
      </w:pPr>
      <w:r>
        <w:t xml:space="preserve">The sport industry is distinguished by several features that make experiential learning especially important. First, sport organizations operate in dynamic environments shaped by </w:t>
      </w:r>
      <w:r>
        <w:lastRenderedPageBreak/>
        <w:t>unpredictable competitive outcomes, shifting media landscapes, evolving consumer expectations, and significant economic pressures. These conditions reward adaptive professionals who can function effectively under uncertainty, a quality that is best cultivated through direct experience rather than simulated scenarios alone. Second, entry-level positions in sport often require demonstrated familiarity with industry-specific tools, terminology, and networks that are difficult to acquire without direct organizational exposure.</w:t>
      </w:r>
    </w:p>
    <w:p w14:paraId="17991744" w14:textId="77777777" w:rsidR="00834E21" w:rsidRDefault="00000000">
      <w:pPr>
        <w:spacing w:after="160" w:line="360" w:lineRule="auto"/>
        <w:ind w:firstLine="720"/>
        <w:jc w:val="both"/>
      </w:pPr>
      <w:r>
        <w:t>Third, the sport industry is deeply relational. Relationships with colleagues, mentors, clients, sponsors, media partners, and community stakeholders are the currency through which careers are built and sustained. McNiff et al. (2014) observed that internships provide students with valuable learning as well as the opportunity to network in the field of sport management. Building these relationships requires the kind of sustained, contextual interaction that only an applied setting can provide. Fourth, the boundaries between professional and personal identity are particularly permeable in sport, where passion for the product is commonly cited as both an asset and a potential liability for employees who may undervalue their own labor (</w:t>
      </w:r>
      <w:proofErr w:type="spellStart"/>
      <w:r>
        <w:t>Hawzen</w:t>
      </w:r>
      <w:proofErr w:type="spellEnd"/>
      <w:r>
        <w:t xml:space="preserve"> et al., 2018).</w:t>
      </w:r>
    </w:p>
    <w:p w14:paraId="671E3BA8" w14:textId="60423817" w:rsidR="00834E21" w:rsidRDefault="00000000">
      <w:pPr>
        <w:spacing w:after="160" w:line="360" w:lineRule="auto"/>
        <w:ind w:firstLine="720"/>
        <w:jc w:val="both"/>
      </w:pPr>
      <w:r>
        <w:t xml:space="preserve">For graduate students specifically, experiential learning serves a dual purpose. It accelerates the transition from student to practitioner by providing </w:t>
      </w:r>
      <w:r w:rsidR="005E4E01">
        <w:t xml:space="preserve">a </w:t>
      </w:r>
      <w:r>
        <w:t>professional context for theoretical knowledge, and it provides opportunities to test career assumptions and preferences before committing to a particular organizational sector or role. Graduate assistantships, in particular, allow students to develop functional competencies in areas such as marketing, event operations, compliance, or development while simultaneously pursuing advanced coursework.</w:t>
      </w:r>
    </w:p>
    <w:p w14:paraId="0DE37F77"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1B07ADF9"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6B9DAD21"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What Employers Actually Look For</w:t>
            </w:r>
          </w:p>
        </w:tc>
      </w:tr>
      <w:tr w:rsidR="00834E21" w14:paraId="5F42D1DB"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10A9DAFD" w14:textId="77777777" w:rsidR="00834E21" w:rsidRDefault="00000000">
            <w:pPr>
              <w:spacing w:line="320" w:lineRule="auto"/>
              <w:jc w:val="both"/>
            </w:pPr>
            <w:r>
              <w:rPr>
                <w:color w:val="1A1A1A"/>
                <w:sz w:val="22"/>
                <w:szCs w:val="22"/>
              </w:rPr>
              <w:t xml:space="preserve">A veteran athletic director at a Power Five institution recently described the candidates who stand out in hiring decisions this way: I can teach someone how to use our CRM or how to run a postgame press conference. What I cannot teach is intellectual curiosity, professional discipline, and genuine care for the people you work with. The students who get hired are the ones who came into their internship asking questions, not waiting to be told what to do. This observation captures precisely what experiential learning, when well-designed and intentionally engaged, is meant to develop. </w:t>
            </w:r>
            <w:proofErr w:type="spellStart"/>
            <w:r>
              <w:rPr>
                <w:color w:val="1A1A1A"/>
                <w:sz w:val="22"/>
                <w:szCs w:val="22"/>
              </w:rPr>
              <w:t>Wohlfart</w:t>
            </w:r>
            <w:proofErr w:type="spellEnd"/>
            <w:r>
              <w:rPr>
                <w:color w:val="1A1A1A"/>
                <w:sz w:val="22"/>
                <w:szCs w:val="22"/>
              </w:rPr>
              <w:t xml:space="preserve"> et al. (2021) found that sport industry experts consistently attach higher importance to adaptive professional competencies than sport management students themselves do, suggesting a systematic gap between how students imagine career readiness and how experienced practitioners actually define it. </w:t>
            </w:r>
            <w:r>
              <w:rPr>
                <w:color w:val="1A1A1A"/>
                <w:sz w:val="22"/>
                <w:szCs w:val="22"/>
              </w:rPr>
              <w:lastRenderedPageBreak/>
              <w:t>As you work through this text and the experiences ahead of you, challenge yourself to bring that intellectual curiosity and professional discipline into every applied setting you enter.</w:t>
            </w:r>
          </w:p>
        </w:tc>
      </w:tr>
    </w:tbl>
    <w:p w14:paraId="2179B65F" w14:textId="77777777" w:rsidR="00834E21" w:rsidRDefault="00834E21">
      <w:pPr>
        <w:spacing w:before="200"/>
      </w:pPr>
    </w:p>
    <w:p w14:paraId="55561EFF" w14:textId="77777777" w:rsidR="00834E21" w:rsidRDefault="00000000">
      <w:pPr>
        <w:pStyle w:val="Heading2"/>
        <w:spacing w:after="120"/>
      </w:pPr>
      <w:r>
        <w:t>1.6 Career Readiness and Employability Outcomes</w:t>
      </w:r>
    </w:p>
    <w:p w14:paraId="63EFF739" w14:textId="77777777" w:rsidR="00834E21" w:rsidRDefault="00000000">
      <w:pPr>
        <w:spacing w:after="160" w:line="360" w:lineRule="auto"/>
        <w:ind w:firstLine="720"/>
        <w:jc w:val="both"/>
      </w:pPr>
      <w:r>
        <w:t>Career readiness is a construct that encompasses the knowledge, skills, and dispositions that enable graduates to make a successful transition from academic preparation to professional employment and sustained career advancement. The National Association of Colleges and Employers (NACE) has identified eight core competencies associated with career readiness: career and self-development, communication, critical thinking, equity and inclusion, leadership, professionalism, teamwork, and technology. Experiential learning programs that are well-designed address multiple dimensions of this competency framework simultaneously, as students are required to communicate professionally, collaborate with colleagues, solve problems, and demonstrate judgment in authentic organizational settings.</w:t>
      </w:r>
    </w:p>
    <w:p w14:paraId="07EC36B4" w14:textId="77777777" w:rsidR="00834E21" w:rsidRDefault="00000000">
      <w:pPr>
        <w:spacing w:after="160" w:line="360" w:lineRule="auto"/>
        <w:ind w:firstLine="720"/>
        <w:jc w:val="both"/>
      </w:pPr>
      <w:r>
        <w:t>Dato (2024) examined the influence of internship experience on professional development among hospitality management graduates and found a significant positive relationship between respondents' internship experience and their professional development, with graduates emphasizing practical skills such as teamwork and time management as key outcomes. These findings are broadly consistent with the sport management literature, which documents similar benefits from internship and practicum participation. Chen and Gan (2021) found that internship programs positively correlated with graduates' ability to perform important workplace tasks, improve innovative thinking, and demonstrate interpersonal communication abilities.</w:t>
      </w:r>
    </w:p>
    <w:p w14:paraId="0BFB4793" w14:textId="77777777" w:rsidR="00834E21" w:rsidRDefault="00000000">
      <w:pPr>
        <w:spacing w:after="160" w:line="360" w:lineRule="auto"/>
        <w:ind w:firstLine="720"/>
        <w:jc w:val="both"/>
      </w:pPr>
      <w:r>
        <w:t xml:space="preserve">It should be noted that not all experiential placements produce equivalent outcomes. Odio and Menaker (2023) argued that there is an imbalance in the discourse surrounding professional and educational foci of sport management internships, warning that many design features of sport management internships are at odds with student development and motivation. They called for a more holistic approach that balances career preparation with transformational learning, improved equity and access across student populations, and explicit attention to students' diverse motivations and developmental needs. Graduate programs that take this critique seriously will design </w:t>
      </w:r>
      <w:r>
        <w:lastRenderedPageBreak/>
        <w:t>experiential components with intentionality, ensuring that learning objectives are clear, supervision is substantive, and reflection structures are woven throughout the experience.</w:t>
      </w:r>
    </w:p>
    <w:p w14:paraId="41F57E03" w14:textId="77777777" w:rsidR="00834E21" w:rsidRDefault="00000000">
      <w:pPr>
        <w:spacing w:before="200" w:after="80"/>
        <w:jc w:val="center"/>
      </w:pPr>
      <w:r>
        <w:rPr>
          <w:noProof/>
        </w:rPr>
        <w:drawing>
          <wp:inline distT="0" distB="0" distL="0" distR="0" wp14:anchorId="58693B39" wp14:editId="5811D1E6">
            <wp:extent cx="5486400" cy="4514850"/>
            <wp:effectExtent l="0" t="0" r="0" b="0"/>
            <wp:docPr id="687909294" name="Figure 1.2. Eight NACE career readiness competencies relevant to sport management graduates." descr="Figure 1.2. Eight NACE career readiness competencies relevant to sport management graduates." title="Figure 1.2. Eight NACE career readiness competencies relevant to sport management gradu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486400" cy="4514850"/>
                    </a:xfrm>
                    <a:prstGeom prst="rect">
                      <a:avLst/>
                    </a:prstGeom>
                  </pic:spPr>
                </pic:pic>
              </a:graphicData>
            </a:graphic>
          </wp:inline>
        </w:drawing>
      </w:r>
    </w:p>
    <w:p w14:paraId="01F007FE" w14:textId="77777777" w:rsidR="00834E21" w:rsidRDefault="00000000">
      <w:pPr>
        <w:spacing w:after="200"/>
        <w:jc w:val="center"/>
      </w:pPr>
      <w:r>
        <w:rPr>
          <w:rFonts w:ascii="Arial" w:eastAsia="Arial" w:hAnsi="Arial" w:cs="Arial"/>
          <w:i/>
          <w:iCs/>
          <w:color w:val="555555"/>
          <w:sz w:val="20"/>
          <w:szCs w:val="20"/>
        </w:rPr>
        <w:t>Figure 1.2. Eight NACE career readiness competencies relevant to sport management graduates.</w:t>
      </w:r>
    </w:p>
    <w:p w14:paraId="706F5903" w14:textId="77777777" w:rsidR="00834E21" w:rsidRDefault="00000000">
      <w:pPr>
        <w:pStyle w:val="Heading2"/>
        <w:spacing w:after="120"/>
      </w:pPr>
      <w:r>
        <w:t>1.7 Reflection and Critical Thinking Practices</w:t>
      </w:r>
    </w:p>
    <w:p w14:paraId="7AB6BBB4" w14:textId="77777777" w:rsidR="00834E21" w:rsidRDefault="00000000">
      <w:pPr>
        <w:spacing w:after="160" w:line="360" w:lineRule="auto"/>
        <w:ind w:firstLine="720"/>
        <w:jc w:val="both"/>
      </w:pPr>
      <w:r>
        <w:t>Reflection is the cognitive process by which experience is converted into learning. Without intentional reflection, students may complete an internship or event volunteer role without extracting generalizable insights, identifying areas for growth, or connecting practical observations to theoretical frameworks. Kolb's model places reflective observation at the center of the learning cycle, recognizing that the movement from concrete experience to abstract conceptualization is not automatic but must be facilitated by deliberate cognitive engagement.</w:t>
      </w:r>
    </w:p>
    <w:p w14:paraId="4F4BE3A6" w14:textId="77777777" w:rsidR="00834E21" w:rsidRDefault="00000000">
      <w:pPr>
        <w:spacing w:after="160" w:line="360" w:lineRule="auto"/>
        <w:ind w:firstLine="720"/>
        <w:jc w:val="both"/>
      </w:pPr>
      <w:r>
        <w:t xml:space="preserve">In sport management programs, reflection practices take several forms. Reflective journaling involves students recording observations, questions, reactions, and insights during or immediately following significant professional experiences. Portfolio-based reflection requires </w:t>
      </w:r>
      <w:r>
        <w:lastRenderedPageBreak/>
        <w:t>students to curate evidence of learning and growth over time, selecting artifacts such as project plans, correspondence, event programs, or performance evaluations and contextualizing them with written analysis. Structured debriefing sessions, whether with faculty supervisors, site mentors, or peer cohorts, provide opportunities for verbal reflection that surface tacit knowledge and challenge assumptions. Baker et al. (2012) emphasized that agricultural educators, and by extension sport management educators, must ask reflection questions such as "What happened?" "Now what?" and "So what?" during each phase of ELT. These deceptively simple prompts, applied consistently throughout a practicum or internship experience, can substantially deepen the quality of learning.</w:t>
      </w:r>
    </w:p>
    <w:p w14:paraId="2D692981" w14:textId="77777777" w:rsidR="00834E21" w:rsidRDefault="00000000">
      <w:pPr>
        <w:spacing w:after="160" w:line="360" w:lineRule="auto"/>
        <w:ind w:firstLine="720"/>
        <w:jc w:val="both"/>
      </w:pPr>
      <w:r>
        <w:t>Critical thinking is an essential companion to reflection. Graduate-level experiential learning should not merely reinforce existing industry norms but should equip students to question practices, recognize systemic inequities, and envision improved approaches. Odio and Menaker (2023) argued that a move toward a more critical and transformational focus for sport management internships would help students develop into stronger professionals who challenge industry norms and advance the field. Graduate programs bear a responsibility to model this critical orientation, ensuring that applied learning experiences foster not just competence but thoughtful professional agency.</w:t>
      </w:r>
    </w:p>
    <w:p w14:paraId="3669F74E" w14:textId="77777777" w:rsidR="00834E21" w:rsidRDefault="00000000">
      <w:pPr>
        <w:pStyle w:val="Heading2"/>
        <w:spacing w:after="120"/>
      </w:pPr>
      <w:r>
        <w:t>1.8 Graduate Student Expectations in Applied Learning</w:t>
      </w:r>
    </w:p>
    <w:p w14:paraId="1A414314" w14:textId="77777777" w:rsidR="00834E21" w:rsidRDefault="00000000">
      <w:pPr>
        <w:spacing w:after="160" w:line="360" w:lineRule="auto"/>
        <w:ind w:firstLine="720"/>
        <w:jc w:val="both"/>
      </w:pPr>
      <w:r>
        <w:t>Graduate students entering experiential learning contexts bring a more developed professional identity, a higher level of academic preparation, and often prior industry experience compared to undergraduate peers. These qualities carry both advantages and responsibilities. On one hand, graduate students are better positioned to engage in complex analytical tasks, lead teams, manage stakeholder relationships, and contribute meaningfully to organizational strategy. On the other hand, they are expected to demonstrate a higher standard of professionalism, initiative, and critical reflection than entry-level undergraduates.</w:t>
      </w:r>
    </w:p>
    <w:p w14:paraId="54B724A4" w14:textId="77777777" w:rsidR="00834E21" w:rsidRDefault="00000000">
      <w:pPr>
        <w:spacing w:after="160" w:line="360" w:lineRule="auto"/>
        <w:ind w:firstLine="720"/>
        <w:jc w:val="both"/>
      </w:pPr>
      <w:r>
        <w:t xml:space="preserve">Graduate assistantships represent one of the most structured and educationally rich forms of applied learning available to sport management students. These positions, typically housed within university athletic departments, recreation centers, or sport commissions, provide sustained engagement with a specific functional area over one to two academic years. McNiff et al. (2014) noted that sport management students can benefit from mentors in the sports industry, a need that </w:t>
      </w:r>
      <w:r>
        <w:lastRenderedPageBreak/>
        <w:t>graduate assistantships are well positioned to meet through regular interaction with professional supervisors.</w:t>
      </w:r>
    </w:p>
    <w:p w14:paraId="11058145" w14:textId="77777777" w:rsidR="00834E21" w:rsidRDefault="00000000">
      <w:pPr>
        <w:spacing w:after="160" w:line="360" w:lineRule="auto"/>
        <w:ind w:firstLine="720"/>
        <w:jc w:val="both"/>
      </w:pPr>
      <w:r>
        <w:t>Graduate students in applied settings are also expected to contribute to the scholarly conversation by connecting their observations to course readings, theoretical frameworks, and the published literature. Capstone projects, action research initiatives, and consulting engagements that emerge from experiential placements represent the highest form of integration between theory and practice. Such projects generate knowledge that benefits not only the individual student but the organization involved and the field as a whole.</w:t>
      </w:r>
    </w:p>
    <w:p w14:paraId="0CFB551C" w14:textId="77777777" w:rsidR="00834E21" w:rsidRDefault="00000000">
      <w:pPr>
        <w:pStyle w:val="Heading2"/>
        <w:spacing w:after="120"/>
      </w:pPr>
      <w:r>
        <w:t>Discussion Questions</w:t>
      </w:r>
    </w:p>
    <w:p w14:paraId="20FCBA49" w14:textId="77777777" w:rsidR="00834E21" w:rsidRDefault="00000000">
      <w:pPr>
        <w:spacing w:before="100" w:after="60" w:line="320" w:lineRule="auto"/>
        <w:ind w:left="720" w:hanging="360"/>
        <w:jc w:val="both"/>
      </w:pPr>
      <w:r>
        <w:rPr>
          <w:b/>
          <w:bCs/>
          <w:sz w:val="22"/>
          <w:szCs w:val="22"/>
        </w:rPr>
        <w:t xml:space="preserve">1. </w:t>
      </w:r>
      <w:r>
        <w:rPr>
          <w:sz w:val="22"/>
          <w:szCs w:val="22"/>
        </w:rPr>
        <w:t>How does Kolb's Experiential Learning Theory (ELT) differ from conventional approaches to professional training? In what specific ways does the cyclical model of ELT address the limitations of lecture-based instruction for sport management preparation?</w:t>
      </w:r>
    </w:p>
    <w:p w14:paraId="1A835551" w14:textId="77777777" w:rsidR="00834E21" w:rsidRDefault="00000000">
      <w:pPr>
        <w:spacing w:before="100" w:after="60" w:line="320" w:lineRule="auto"/>
        <w:ind w:left="720" w:hanging="360"/>
        <w:jc w:val="both"/>
      </w:pPr>
      <w:r>
        <w:rPr>
          <w:b/>
          <w:bCs/>
          <w:sz w:val="22"/>
          <w:szCs w:val="22"/>
        </w:rPr>
        <w:t xml:space="preserve">2. </w:t>
      </w:r>
      <w:r>
        <w:rPr>
          <w:sz w:val="22"/>
          <w:szCs w:val="22"/>
        </w:rPr>
        <w:t>Odio and Menaker (2023) argued that the dominant career-focused discourse around sport management internships fails to account for students' diverse motivations and developmental needs. Do you agree with this critique? What structural changes would you propose to address it?</w:t>
      </w:r>
    </w:p>
    <w:p w14:paraId="3B6CD340" w14:textId="77777777" w:rsidR="00834E21" w:rsidRDefault="00000000">
      <w:pPr>
        <w:spacing w:before="100" w:after="60" w:line="320" w:lineRule="auto"/>
        <w:ind w:left="720" w:hanging="360"/>
        <w:jc w:val="both"/>
      </w:pPr>
      <w:r>
        <w:rPr>
          <w:b/>
          <w:bCs/>
          <w:sz w:val="22"/>
          <w:szCs w:val="22"/>
        </w:rPr>
        <w:t xml:space="preserve">3. </w:t>
      </w:r>
      <w:r>
        <w:rPr>
          <w:sz w:val="22"/>
          <w:szCs w:val="22"/>
        </w:rPr>
        <w:t>Perry et al. (2022) noted that COSMA identifies experiential learning as integral to sport management curriculum. What are the potential risks of making experiential learning a mandatory accreditation requirement? How might programs ensure equity of access across student populations?</w:t>
      </w:r>
    </w:p>
    <w:p w14:paraId="58F11B62" w14:textId="77777777" w:rsidR="00834E21" w:rsidRDefault="00000000">
      <w:pPr>
        <w:spacing w:before="100" w:after="60" w:line="320" w:lineRule="auto"/>
        <w:ind w:left="720" w:hanging="360"/>
        <w:jc w:val="both"/>
      </w:pPr>
      <w:r>
        <w:rPr>
          <w:b/>
          <w:bCs/>
          <w:sz w:val="22"/>
          <w:szCs w:val="22"/>
        </w:rPr>
        <w:t xml:space="preserve">4. </w:t>
      </w:r>
      <w:r>
        <w:rPr>
          <w:sz w:val="22"/>
          <w:szCs w:val="22"/>
        </w:rPr>
        <w:t>McNiff et al. (2014) observed that the hours in sport industry jobs are longer than non-sport counterparts and that pay may be lower, especially at entry level. How does this reality influence your expectations for your own experiential learning pathway? How should programs address this candidly with students?</w:t>
      </w:r>
    </w:p>
    <w:p w14:paraId="56417D68" w14:textId="2974DC38" w:rsidR="005E4E01" w:rsidRDefault="00000000" w:rsidP="005E4E01">
      <w:pPr>
        <w:spacing w:before="100" w:after="60" w:line="320" w:lineRule="auto"/>
        <w:ind w:left="720" w:hanging="360"/>
        <w:jc w:val="both"/>
        <w:rPr>
          <w:sz w:val="22"/>
          <w:szCs w:val="22"/>
        </w:rPr>
      </w:pPr>
      <w:r>
        <w:rPr>
          <w:b/>
          <w:bCs/>
          <w:sz w:val="22"/>
          <w:szCs w:val="22"/>
        </w:rPr>
        <w:t xml:space="preserve">5. </w:t>
      </w:r>
      <w:r>
        <w:rPr>
          <w:sz w:val="22"/>
          <w:szCs w:val="22"/>
        </w:rPr>
        <w:t>Reflection is described as the mechanism by which experience becomes learning. Identify a professional experience from your own background and demonstrate the application of Kolb's four-stage cycle to that experience.</w:t>
      </w:r>
    </w:p>
    <w:p w14:paraId="263B69C7" w14:textId="77777777" w:rsidR="005E4E01" w:rsidRDefault="005E4E01" w:rsidP="005E4E01">
      <w:pPr>
        <w:spacing w:before="100" w:after="60" w:line="320" w:lineRule="auto"/>
        <w:ind w:left="720" w:hanging="360"/>
        <w:jc w:val="both"/>
      </w:pPr>
    </w:p>
    <w:p w14:paraId="06FA1A64" w14:textId="77777777" w:rsidR="005E4E01" w:rsidRDefault="005E4E01" w:rsidP="005E4E01">
      <w:pPr>
        <w:spacing w:before="100" w:after="60" w:line="320" w:lineRule="auto"/>
        <w:ind w:left="720" w:hanging="360"/>
        <w:jc w:val="both"/>
      </w:pPr>
    </w:p>
    <w:p w14:paraId="1482BBFF" w14:textId="77777777" w:rsidR="005E4E01" w:rsidRDefault="005E4E01" w:rsidP="005E4E01">
      <w:pPr>
        <w:spacing w:before="100" w:after="60" w:line="320" w:lineRule="auto"/>
        <w:ind w:left="720" w:hanging="360"/>
        <w:jc w:val="both"/>
      </w:pPr>
    </w:p>
    <w:p w14:paraId="6DB43F18" w14:textId="77777777" w:rsidR="00D52FEB" w:rsidRDefault="00D52FEB" w:rsidP="005E4E01">
      <w:pPr>
        <w:spacing w:before="100" w:after="60" w:line="320" w:lineRule="auto"/>
        <w:ind w:left="720" w:hanging="360"/>
        <w:jc w:val="both"/>
      </w:pPr>
    </w:p>
    <w:p w14:paraId="6DC774F8" w14:textId="77777777" w:rsidR="00834E21" w:rsidRDefault="00834E2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45"/>
        <w:gridCol w:w="6215"/>
      </w:tblGrid>
      <w:tr w:rsidR="00834E21" w14:paraId="6A75A641" w14:textId="77777777" w:rsidTr="005E4E01">
        <w:tblPrEx>
          <w:tblCellMar>
            <w:top w:w="0" w:type="dxa"/>
            <w:bottom w:w="0" w:type="dxa"/>
          </w:tblCellMar>
        </w:tblPrEx>
        <w:trPr>
          <w:gridAfter w:val="1"/>
          <w:wAfter w:w="6215" w:type="dxa"/>
        </w:trPr>
        <w:tc>
          <w:tcPr>
            <w:tcW w:w="3145" w:type="dxa"/>
            <w:tcBorders>
              <w:top w:val="single" w:sz="4" w:space="0" w:color="2E4057"/>
              <w:left w:val="single" w:sz="4" w:space="0" w:color="2E4057"/>
              <w:bottom w:val="single" w:sz="4" w:space="0" w:color="2E4057"/>
              <w:right w:val="single" w:sz="4" w:space="0" w:color="2E4057"/>
            </w:tcBorders>
            <w:shd w:val="clear" w:color="auto" w:fill="2E4057"/>
            <w:tcMar>
              <w:top w:w="100" w:type="dxa"/>
              <w:left w:w="180" w:type="dxa"/>
              <w:bottom w:w="100" w:type="dxa"/>
              <w:right w:w="180" w:type="dxa"/>
            </w:tcMar>
          </w:tcPr>
          <w:p w14:paraId="17DF3EB7" w14:textId="7CAE908C" w:rsidR="00834E21" w:rsidRDefault="00000000">
            <w:r>
              <w:rPr>
                <w:rFonts w:ascii="Arial" w:eastAsia="Arial" w:hAnsi="Arial" w:cs="Arial"/>
                <w:b/>
                <w:bCs/>
                <w:color w:val="FFFFFF"/>
                <w:sz w:val="26"/>
                <w:szCs w:val="26"/>
              </w:rPr>
              <w:lastRenderedPageBreak/>
              <w:t>Reflection Practices</w:t>
            </w:r>
            <w:r>
              <w:rPr>
                <w:rFonts w:ascii="Arial" w:eastAsia="Arial" w:hAnsi="Arial" w:cs="Arial"/>
                <w:color w:val="C8D8E8"/>
                <w:sz w:val="20"/>
                <w:szCs w:val="20"/>
              </w:rPr>
              <w:t xml:space="preserve">   Applied Learning Activities</w:t>
            </w:r>
          </w:p>
        </w:tc>
      </w:tr>
      <w:tr w:rsidR="00834E21" w14:paraId="75459072" w14:textId="77777777" w:rsidTr="005E4E01">
        <w:tblPrEx>
          <w:tblCellMar>
            <w:top w:w="0" w:type="dxa"/>
            <w:bottom w:w="0" w:type="dxa"/>
          </w:tblCellMar>
        </w:tblPrEx>
        <w:tc>
          <w:tcPr>
            <w:tcW w:w="3145"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26412233" w14:textId="77777777" w:rsidR="00834E21" w:rsidRDefault="00000000">
            <w:pPr>
              <w:jc w:val="center"/>
            </w:pPr>
            <w:r>
              <w:rPr>
                <w:rFonts w:ascii="Arial" w:eastAsia="Arial" w:hAnsi="Arial" w:cs="Arial"/>
                <w:b/>
                <w:bCs/>
                <w:color w:val="2E4057"/>
                <w:sz w:val="28"/>
                <w:szCs w:val="28"/>
              </w:rPr>
              <w:t>1</w:t>
            </w:r>
          </w:p>
        </w:tc>
        <w:tc>
          <w:tcPr>
            <w:tcW w:w="6215" w:type="dxa"/>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2BC9BC32" w14:textId="77777777" w:rsidR="00834E21" w:rsidRDefault="00000000">
            <w:pPr>
              <w:spacing w:line="300" w:lineRule="auto"/>
              <w:jc w:val="both"/>
            </w:pPr>
            <w:r>
              <w:rPr>
                <w:b/>
                <w:bCs/>
                <w:color w:val="2E4057"/>
                <w:sz w:val="22"/>
                <w:szCs w:val="22"/>
              </w:rPr>
              <w:t xml:space="preserve">Learning Style Inventory: Complete Kolb's Learning Style Inventory or an equivalent instrument. </w:t>
            </w:r>
            <w:r>
              <w:rPr>
                <w:color w:val="1A1A1A"/>
                <w:sz w:val="22"/>
                <w:szCs w:val="22"/>
              </w:rPr>
              <w:t>Write a 500-word reflection exploring how your identified learning style influences the kinds of applied experiences from which you believe you will learn most effectively.</w:t>
            </w:r>
          </w:p>
        </w:tc>
      </w:tr>
      <w:tr w:rsidR="00834E21" w14:paraId="64B25291" w14:textId="77777777" w:rsidTr="005E4E01">
        <w:tblPrEx>
          <w:tblCellMar>
            <w:top w:w="0" w:type="dxa"/>
            <w:bottom w:w="0" w:type="dxa"/>
          </w:tblCellMar>
        </w:tblPrEx>
        <w:tc>
          <w:tcPr>
            <w:tcW w:w="3145"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08C34DCB" w14:textId="77777777" w:rsidR="00834E21" w:rsidRDefault="00000000">
            <w:pPr>
              <w:jc w:val="center"/>
            </w:pPr>
            <w:r>
              <w:rPr>
                <w:rFonts w:ascii="Arial" w:eastAsia="Arial" w:hAnsi="Arial" w:cs="Arial"/>
                <w:b/>
                <w:bCs/>
                <w:color w:val="2E4057"/>
                <w:sz w:val="28"/>
                <w:szCs w:val="28"/>
              </w:rPr>
              <w:t>2</w:t>
            </w:r>
          </w:p>
        </w:tc>
        <w:tc>
          <w:tcPr>
            <w:tcW w:w="6215" w:type="dxa"/>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478C1945" w14:textId="77777777" w:rsidR="00834E21" w:rsidRDefault="00000000">
            <w:pPr>
              <w:spacing w:line="300" w:lineRule="auto"/>
              <w:jc w:val="both"/>
            </w:pPr>
            <w:r>
              <w:rPr>
                <w:b/>
                <w:bCs/>
                <w:color w:val="2E4057"/>
                <w:sz w:val="22"/>
                <w:szCs w:val="22"/>
              </w:rPr>
              <w:t xml:space="preserve">Experiential Learning Audit: Identify three significant professional or educational experiences from your own history. </w:t>
            </w:r>
            <w:r>
              <w:rPr>
                <w:color w:val="1A1A1A"/>
                <w:sz w:val="22"/>
                <w:szCs w:val="22"/>
              </w:rPr>
              <w:t>For each, map the experience onto Kolb's four-stage cycle, noting which stages you engaged with most and least thoroughly.</w:t>
            </w:r>
          </w:p>
        </w:tc>
      </w:tr>
      <w:tr w:rsidR="00834E21" w14:paraId="3FDECB66" w14:textId="77777777" w:rsidTr="005E4E01">
        <w:tblPrEx>
          <w:tblCellMar>
            <w:top w:w="0" w:type="dxa"/>
            <w:bottom w:w="0" w:type="dxa"/>
          </w:tblCellMar>
        </w:tblPrEx>
        <w:tc>
          <w:tcPr>
            <w:tcW w:w="3145"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28167119" w14:textId="77777777" w:rsidR="00834E21" w:rsidRDefault="00000000">
            <w:pPr>
              <w:jc w:val="center"/>
            </w:pPr>
            <w:r>
              <w:rPr>
                <w:rFonts w:ascii="Arial" w:eastAsia="Arial" w:hAnsi="Arial" w:cs="Arial"/>
                <w:b/>
                <w:bCs/>
                <w:color w:val="2E4057"/>
                <w:sz w:val="28"/>
                <w:szCs w:val="28"/>
              </w:rPr>
              <w:t>3</w:t>
            </w:r>
          </w:p>
        </w:tc>
        <w:tc>
          <w:tcPr>
            <w:tcW w:w="6215" w:type="dxa"/>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7FFD9F8C" w14:textId="77777777" w:rsidR="00834E21" w:rsidRDefault="00000000">
            <w:pPr>
              <w:spacing w:line="300" w:lineRule="auto"/>
              <w:jc w:val="both"/>
            </w:pPr>
            <w:r>
              <w:rPr>
                <w:b/>
                <w:bCs/>
                <w:color w:val="2E4057"/>
                <w:sz w:val="22"/>
                <w:szCs w:val="22"/>
              </w:rPr>
              <w:t xml:space="preserve">Industry Landscape Interview: Conduct a 30-minute informational interview with a practicing sport management professional at any career stage. </w:t>
            </w:r>
            <w:r>
              <w:rPr>
                <w:color w:val="1A1A1A"/>
                <w:sz w:val="22"/>
                <w:szCs w:val="22"/>
              </w:rPr>
              <w:t>Inquire specifically about the role experiential learning played in their career development and record key insights in a structured reflection journal entry.</w:t>
            </w:r>
          </w:p>
        </w:tc>
      </w:tr>
      <w:tr w:rsidR="00834E21" w14:paraId="3A899FE5" w14:textId="77777777" w:rsidTr="005E4E01">
        <w:tblPrEx>
          <w:tblCellMar>
            <w:top w:w="0" w:type="dxa"/>
            <w:bottom w:w="0" w:type="dxa"/>
          </w:tblCellMar>
        </w:tblPrEx>
        <w:tc>
          <w:tcPr>
            <w:tcW w:w="3145"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612DE68A" w14:textId="77777777" w:rsidR="00834E21" w:rsidRDefault="00000000">
            <w:pPr>
              <w:jc w:val="center"/>
            </w:pPr>
            <w:r>
              <w:rPr>
                <w:rFonts w:ascii="Arial" w:eastAsia="Arial" w:hAnsi="Arial" w:cs="Arial"/>
                <w:b/>
                <w:bCs/>
                <w:color w:val="2E4057"/>
                <w:sz w:val="28"/>
                <w:szCs w:val="28"/>
              </w:rPr>
              <w:t>4</w:t>
            </w:r>
          </w:p>
        </w:tc>
        <w:tc>
          <w:tcPr>
            <w:tcW w:w="6215" w:type="dxa"/>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38F217D9" w14:textId="77777777" w:rsidR="00834E21" w:rsidRDefault="00000000">
            <w:pPr>
              <w:spacing w:line="300" w:lineRule="auto"/>
              <w:jc w:val="both"/>
            </w:pPr>
            <w:r>
              <w:rPr>
                <w:b/>
                <w:bCs/>
                <w:color w:val="2E4057"/>
                <w:sz w:val="22"/>
                <w:szCs w:val="22"/>
              </w:rPr>
              <w:t xml:space="preserve">Reflection Journal Initiation: Begin a structured reflection journal that will continue throughout this course. </w:t>
            </w:r>
            <w:r>
              <w:rPr>
                <w:color w:val="1A1A1A"/>
                <w:sz w:val="22"/>
                <w:szCs w:val="22"/>
              </w:rPr>
              <w:t>Your first entry should articulate your current professional goals, the experiential learning opportunities you most hope to pursue, and the competencies you most urgently need to develop.</w:t>
            </w:r>
          </w:p>
        </w:tc>
      </w:tr>
      <w:tr w:rsidR="00834E21" w14:paraId="3E247635" w14:textId="77777777" w:rsidTr="005E4E01">
        <w:tblPrEx>
          <w:tblCellMar>
            <w:top w:w="0" w:type="dxa"/>
            <w:bottom w:w="0" w:type="dxa"/>
          </w:tblCellMar>
        </w:tblPrEx>
        <w:tc>
          <w:tcPr>
            <w:tcW w:w="3145"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4CC7F9A5" w14:textId="77777777" w:rsidR="00834E21" w:rsidRDefault="00000000">
            <w:pPr>
              <w:jc w:val="center"/>
            </w:pPr>
            <w:r>
              <w:rPr>
                <w:rFonts w:ascii="Arial" w:eastAsia="Arial" w:hAnsi="Arial" w:cs="Arial"/>
                <w:b/>
                <w:bCs/>
                <w:color w:val="2E4057"/>
                <w:sz w:val="28"/>
                <w:szCs w:val="28"/>
              </w:rPr>
              <w:t>5</w:t>
            </w:r>
          </w:p>
        </w:tc>
        <w:tc>
          <w:tcPr>
            <w:tcW w:w="6215" w:type="dxa"/>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2EC10689" w14:textId="77777777" w:rsidR="00834E21" w:rsidRDefault="00000000">
            <w:pPr>
              <w:spacing w:line="300" w:lineRule="auto"/>
              <w:jc w:val="both"/>
            </w:pPr>
            <w:r>
              <w:rPr>
                <w:b/>
                <w:bCs/>
                <w:color w:val="2E4057"/>
                <w:sz w:val="22"/>
                <w:szCs w:val="22"/>
              </w:rPr>
              <w:t>Theory-to-Practice Essay: In 800 to 1,000 words, connect at least two readings from this chapter to a specific professional context you have observed or participated in, analyzing the alignment or misalignment between theoretical ideals and organizational reality.</w:t>
            </w:r>
          </w:p>
        </w:tc>
      </w:tr>
    </w:tbl>
    <w:p w14:paraId="6C9BB4E8" w14:textId="77777777" w:rsidR="00834E21" w:rsidRDefault="00000000">
      <w:pPr>
        <w:pStyle w:val="Heading2"/>
        <w:spacing w:after="120"/>
      </w:pPr>
      <w:r>
        <w:t>References</w:t>
      </w:r>
    </w:p>
    <w:p w14:paraId="2C781EF8" w14:textId="77777777" w:rsidR="00834E21" w:rsidRDefault="00000000">
      <w:pPr>
        <w:spacing w:before="60" w:after="60" w:line="320" w:lineRule="auto"/>
        <w:ind w:left="720" w:hanging="720"/>
        <w:jc w:val="both"/>
      </w:pPr>
      <w:r>
        <w:rPr>
          <w:sz w:val="22"/>
          <w:szCs w:val="22"/>
        </w:rPr>
        <w:t>Abdul Shukor, S., &amp; Mohamad Nor, N. S. (2024). The impact of experiential learning on student perceptions of a career in sales. EPIBAF Proceedings, 11(1), 205-209. https://doi.org/10.33102/sprepg18</w:t>
      </w:r>
    </w:p>
    <w:p w14:paraId="1748DF25" w14:textId="77777777" w:rsidR="00834E21" w:rsidRDefault="00000000">
      <w:pPr>
        <w:spacing w:before="60" w:after="60" w:line="320" w:lineRule="auto"/>
        <w:ind w:left="720" w:hanging="720"/>
        <w:jc w:val="both"/>
      </w:pPr>
      <w:r>
        <w:rPr>
          <w:sz w:val="22"/>
          <w:szCs w:val="22"/>
        </w:rPr>
        <w:t>Guidotti, F., Demarie, S., &amp; Ciaccioni, S. (2023). Relevant sport management knowledge, competencies, and skills: An umbrella review. Sustainability, 15(12), 9515. https://doi.org/10.3390/su15129515</w:t>
      </w:r>
    </w:p>
    <w:p w14:paraId="61A55A1E" w14:textId="77777777" w:rsidR="00834E21" w:rsidRDefault="00000000">
      <w:pPr>
        <w:spacing w:before="60" w:after="60" w:line="320" w:lineRule="auto"/>
        <w:ind w:left="720" w:hanging="720"/>
        <w:jc w:val="both"/>
      </w:pPr>
      <w:r>
        <w:rPr>
          <w:sz w:val="22"/>
          <w:szCs w:val="22"/>
        </w:rPr>
        <w:t>Wohlfart, O., Adam, S., &amp; Hovemann, G. (2021). Aligning competence-oriented qualifications in sport management higher education with industry requirements: An importance-performance analysis. Industry and Higher Education, 36(2), 163-176. https://doi.org/10.1177/09504222211016284</w:t>
      </w:r>
    </w:p>
    <w:p w14:paraId="1F7F1C46" w14:textId="77777777" w:rsidR="00834E21" w:rsidRDefault="00000000">
      <w:pPr>
        <w:spacing w:before="60" w:after="60" w:line="320" w:lineRule="auto"/>
        <w:ind w:left="720" w:hanging="720"/>
        <w:jc w:val="both"/>
      </w:pPr>
      <w:r>
        <w:rPr>
          <w:sz w:val="22"/>
          <w:szCs w:val="22"/>
        </w:rPr>
        <w:lastRenderedPageBreak/>
        <w:t>Baker, M. A., &amp; Robinson, S. (2012). Aligning Kolb's experiential learning theory with a comprehensive agricultural education model. Journal of Agricultural Education, 53(4), 1-16. https://doi.org/10.5032/jae.2012.04001</w:t>
      </w:r>
    </w:p>
    <w:p w14:paraId="6A6C6811" w14:textId="77777777" w:rsidR="00834E21" w:rsidRDefault="00000000">
      <w:pPr>
        <w:spacing w:before="60" w:after="60" w:line="320" w:lineRule="auto"/>
        <w:ind w:left="720" w:hanging="720"/>
        <w:jc w:val="both"/>
      </w:pPr>
      <w:r>
        <w:rPr>
          <w:sz w:val="22"/>
          <w:szCs w:val="22"/>
        </w:rPr>
        <w:t xml:space="preserve">Chen, Y., &amp; Gan, N. (2021). Sustainable development of employability of university students based on participation in the internship promotion </w:t>
      </w:r>
      <w:proofErr w:type="spellStart"/>
      <w:r>
        <w:rPr>
          <w:sz w:val="22"/>
          <w:szCs w:val="22"/>
        </w:rPr>
        <w:t>programme</w:t>
      </w:r>
      <w:proofErr w:type="spellEnd"/>
      <w:r>
        <w:rPr>
          <w:sz w:val="22"/>
          <w:szCs w:val="22"/>
        </w:rPr>
        <w:t xml:space="preserve"> of Zhejiang Province. Sustainability, 13(23), 13454. https://doi.org/10.3390/su132313454</w:t>
      </w:r>
    </w:p>
    <w:p w14:paraId="5BE14EAF" w14:textId="77777777" w:rsidR="00834E21" w:rsidRDefault="00000000">
      <w:pPr>
        <w:spacing w:before="60" w:after="60" w:line="320" w:lineRule="auto"/>
        <w:ind w:left="720" w:hanging="720"/>
        <w:jc w:val="both"/>
      </w:pPr>
      <w:proofErr w:type="spellStart"/>
      <w:r>
        <w:rPr>
          <w:sz w:val="22"/>
          <w:szCs w:val="22"/>
        </w:rPr>
        <w:t>Clinciu</w:t>
      </w:r>
      <w:proofErr w:type="spellEnd"/>
      <w:r>
        <w:rPr>
          <w:sz w:val="22"/>
          <w:szCs w:val="22"/>
        </w:rPr>
        <w:t>, R. (2023). Application of the experiential learning theory in engineering education. RECENT, 24(3), 264-268. https://doi.org/10.31926/recent.2023.71.264</w:t>
      </w:r>
    </w:p>
    <w:p w14:paraId="6D9468BD" w14:textId="77777777" w:rsidR="00834E21" w:rsidRDefault="00000000">
      <w:pPr>
        <w:spacing w:before="60" w:after="60" w:line="320" w:lineRule="auto"/>
        <w:ind w:left="720" w:hanging="720"/>
        <w:jc w:val="both"/>
      </w:pPr>
      <w:r>
        <w:rPr>
          <w:sz w:val="22"/>
          <w:szCs w:val="22"/>
        </w:rPr>
        <w:t>Dato, R. B. (2024). How internships influenced professional development? Hotel and restaurant management graduate perspectives. International Journal of Social Science and Human Research, 7(5). https://doi.org/10.47191/ijsshr/v7-i05-112</w:t>
      </w:r>
    </w:p>
    <w:p w14:paraId="7182FA57" w14:textId="77777777" w:rsidR="00834E21" w:rsidRDefault="00000000">
      <w:pPr>
        <w:spacing w:before="60" w:after="60" w:line="320" w:lineRule="auto"/>
        <w:ind w:left="720" w:hanging="720"/>
        <w:jc w:val="both"/>
      </w:pPr>
      <w:r>
        <w:rPr>
          <w:sz w:val="22"/>
          <w:szCs w:val="22"/>
        </w:rPr>
        <w:t>Hayden, S. C. W., &amp; Osborn, D. S. (2020). Using experiential learning theory to train career practitioners. Journal of Employment Counseling, 57(1), 2-13. https://doi.org/10.1002/joec.12134</w:t>
      </w:r>
    </w:p>
    <w:p w14:paraId="48CADA29" w14:textId="77777777" w:rsidR="00834E21" w:rsidRDefault="00000000">
      <w:pPr>
        <w:spacing w:before="60" w:after="60" w:line="320" w:lineRule="auto"/>
        <w:ind w:left="720" w:hanging="720"/>
        <w:jc w:val="both"/>
      </w:pPr>
      <w:proofErr w:type="spellStart"/>
      <w:r>
        <w:rPr>
          <w:sz w:val="22"/>
          <w:szCs w:val="22"/>
        </w:rPr>
        <w:t>Hawzen</w:t>
      </w:r>
      <w:proofErr w:type="spellEnd"/>
      <w:r>
        <w:rPr>
          <w:sz w:val="22"/>
          <w:szCs w:val="22"/>
        </w:rPr>
        <w:t>, M. G., McLeod, C. M., &amp; Holden, J. T. (2018). Cruel optimism in sport management: Fans, affective labor, and the political economy of internships in the sport industry. Journal of Sport and Social Issues, 42(3), 184-204. https://doi.org/10.1177/0193723518758457</w:t>
      </w:r>
    </w:p>
    <w:p w14:paraId="292028CB" w14:textId="77777777" w:rsidR="00834E21" w:rsidRDefault="00000000">
      <w:pPr>
        <w:spacing w:before="60" w:after="60" w:line="320" w:lineRule="auto"/>
        <w:ind w:left="720" w:hanging="720"/>
        <w:jc w:val="both"/>
      </w:pPr>
      <w:r>
        <w:rPr>
          <w:sz w:val="22"/>
          <w:szCs w:val="22"/>
        </w:rPr>
        <w:t xml:space="preserve">Kapyla, J., &amp; </w:t>
      </w:r>
      <w:proofErr w:type="spellStart"/>
      <w:r>
        <w:rPr>
          <w:sz w:val="22"/>
          <w:szCs w:val="22"/>
        </w:rPr>
        <w:t>Palvalin</w:t>
      </w:r>
      <w:proofErr w:type="spellEnd"/>
      <w:r>
        <w:rPr>
          <w:sz w:val="22"/>
          <w:szCs w:val="22"/>
        </w:rPr>
        <w:t xml:space="preserve">, M. (2023). Experiential pedagogical model for teaching management and leadership in higher education. </w:t>
      </w:r>
      <w:proofErr w:type="spellStart"/>
      <w:r>
        <w:rPr>
          <w:sz w:val="22"/>
          <w:szCs w:val="22"/>
        </w:rPr>
        <w:t>InScience</w:t>
      </w:r>
      <w:proofErr w:type="spellEnd"/>
      <w:r>
        <w:rPr>
          <w:sz w:val="22"/>
          <w:szCs w:val="22"/>
        </w:rPr>
        <w:t xml:space="preserve"> Press. https://doi.org/10.36315/2023v2end128</w:t>
      </w:r>
    </w:p>
    <w:p w14:paraId="51C9BBAD" w14:textId="77777777" w:rsidR="00834E21" w:rsidRDefault="00000000">
      <w:pPr>
        <w:spacing w:before="60" w:after="60" w:line="320" w:lineRule="auto"/>
        <w:ind w:left="720" w:hanging="720"/>
        <w:jc w:val="both"/>
      </w:pPr>
      <w:r>
        <w:rPr>
          <w:sz w:val="22"/>
          <w:szCs w:val="22"/>
        </w:rPr>
        <w:t>McNiff, J., Fried, G., &amp; Mahoney, K. (2014). Learning sport management. Human Kinetics. https://doi.org/10.4135/9781526434203</w:t>
      </w:r>
    </w:p>
    <w:p w14:paraId="4331C413" w14:textId="77777777" w:rsidR="00834E21" w:rsidRDefault="00000000">
      <w:pPr>
        <w:spacing w:before="60" w:after="60" w:line="320" w:lineRule="auto"/>
        <w:ind w:left="720" w:hanging="720"/>
        <w:jc w:val="both"/>
      </w:pPr>
      <w:r>
        <w:rPr>
          <w:sz w:val="22"/>
          <w:szCs w:val="22"/>
        </w:rPr>
        <w:t>Odio, M. A., &amp; Menaker, B. E. (2023). Rethinking the sport management internship. Sports Innovation Journal, 4(SI), 152-162. https://doi.org/10.18060/27358</w:t>
      </w:r>
    </w:p>
    <w:p w14:paraId="673BD9C7" w14:textId="77777777" w:rsidR="00834E21" w:rsidRDefault="00000000">
      <w:pPr>
        <w:spacing w:before="60" w:after="60" w:line="320" w:lineRule="auto"/>
        <w:ind w:left="720" w:hanging="720"/>
        <w:jc w:val="both"/>
      </w:pPr>
      <w:r>
        <w:rPr>
          <w:sz w:val="22"/>
          <w:szCs w:val="22"/>
        </w:rPr>
        <w:t>Perry, J., Anderson, A. J., &amp; Ohrberg, N. J. (2022). The digital paradigm shift: Challenges faced by HBCU sport management programs in light of modernization. Journal of Education and Recreation Patterns, 3(1), 25-35. https://doi.org/10.53016/jerp.v3i1.42</w:t>
      </w:r>
    </w:p>
    <w:p w14:paraId="7E1E8F11" w14:textId="77777777" w:rsidR="00834E21" w:rsidRDefault="00000000">
      <w:pPr>
        <w:spacing w:before="60" w:after="60" w:line="320" w:lineRule="auto"/>
        <w:ind w:left="720" w:hanging="720"/>
        <w:jc w:val="both"/>
      </w:pPr>
      <w:r>
        <w:rPr>
          <w:sz w:val="22"/>
          <w:szCs w:val="22"/>
        </w:rPr>
        <w:t>Tiessen, R., Grantham, K., &amp; Cameron, J. (2019). The relationship between experiential learning and career outcomes for alumni of international development studies programs in Canada. Canadian Journal of Higher Education, 48(3), 23-42. https://doi.org/10.7202/1057127ar</w:t>
      </w:r>
    </w:p>
    <w:p w14:paraId="75636EF7" w14:textId="77777777" w:rsidR="00834E21" w:rsidRDefault="00000000">
      <w:r>
        <w:br w:type="page"/>
      </w:r>
    </w:p>
    <w:p w14:paraId="02A4FA3D" w14:textId="77777777" w:rsidR="00834E21" w:rsidRDefault="00000000">
      <w:pPr>
        <w:pStyle w:val="Heading1"/>
        <w:spacing w:after="120"/>
      </w:pPr>
      <w:r>
        <w:lastRenderedPageBreak/>
        <w:t>Chapter 2: Career Pathways Through Applied Learning</w:t>
      </w:r>
    </w:p>
    <w:p w14:paraId="0E20970F" w14:textId="77777777" w:rsidR="00834E21" w:rsidRDefault="00000000">
      <w:pPr>
        <w:pStyle w:val="Heading2"/>
        <w:spacing w:after="120"/>
      </w:pPr>
      <w:r>
        <w:t>2.1 Understanding the Sport Industry Landscape</w:t>
      </w:r>
    </w:p>
    <w:p w14:paraId="134FC3F7" w14:textId="77777777" w:rsidR="00834E21" w:rsidRDefault="00000000">
      <w:pPr>
        <w:spacing w:after="160" w:line="360" w:lineRule="auto"/>
        <w:ind w:firstLine="720"/>
        <w:jc w:val="both"/>
      </w:pPr>
      <w:r>
        <w:t>The sport industry is one of the most structurally diverse sectors of the modern economy. Its scope extends well beyond professional team sport to encompass intercollegiate athletics, recreational sport, fitness and wellness, sport media, sport tourism, facility and event management, sponsorship and marketing, sport technology, and esports. Understanding this landscape is essential for sport management graduate students who must make intentional decisions about which sector aligns with their professional interests, competencies, and values. Without a clear map of the industry, students risk pursuing opportunities narrowly defined by cultural familiarity with high-visibility professional leagues while overlooking a wide range of viable and rewarding career pathways.</w:t>
      </w:r>
    </w:p>
    <w:p w14:paraId="761D96F8" w14:textId="77777777" w:rsidR="00834E21" w:rsidRDefault="00000000">
      <w:pPr>
        <w:spacing w:after="160" w:line="360" w:lineRule="auto"/>
        <w:ind w:firstLine="720"/>
        <w:jc w:val="both"/>
      </w:pPr>
      <w:r>
        <w:t>Perry et al. (2022) observed that the sport industry is by nature entrepreneurial and has a tradition of introducing new innovations that transcend to other industries. This entrepreneurial character means that the boundaries between sectors are frequently permeable and that career trajectories in sport are often non-linear. Odio and Menaker (2023) documented this reality empirically, noting that in a study of sport industry professionals with between five and 15 years of experience, the average job and organizational tenure were 23 and 30 months respectively and that a large proportion of people in the sample changed between jobs in and out of the sport industry during their career. Graduate students who develop transferable competencies and cultivate broad professional networks are better positioned to navigate this dynamic career environment than those who focus narrowly on a single organizational context.</w:t>
      </w:r>
    </w:p>
    <w:p w14:paraId="6835A9CB" w14:textId="77777777" w:rsidR="00834E21" w:rsidRDefault="00000000">
      <w:pPr>
        <w:spacing w:after="160" w:line="360" w:lineRule="auto"/>
        <w:ind w:firstLine="720"/>
        <w:jc w:val="both"/>
      </w:pPr>
      <w:r>
        <w:t xml:space="preserve">The industry landscape can be organized along several dimensions. Organizational type includes professional franchises, collegiate athletic departments, independent sport organizations, nonprofit and public sector entities, media and technology companies, and consulting firms. Sport context includes team sports, individual sports, combat sports, recreational sport, Paralympic and adaptive sport, youth sport, and esports. Functional domain includes marketing and communications, operations and facilities, revenue generation, community engagement, finance and compliance, technology and analytics, and human resources. Graduate students benefit from </w:t>
      </w:r>
      <w:r>
        <w:lastRenderedPageBreak/>
        <w:t>mapping their interests across these dimensions and identifying the intersections most closely aligned with their professional goals.</w:t>
      </w:r>
    </w:p>
    <w:p w14:paraId="6DBFBAC4" w14:textId="77777777" w:rsidR="00834E21" w:rsidRDefault="00000000">
      <w:pPr>
        <w:spacing w:before="200" w:after="80"/>
        <w:jc w:val="center"/>
      </w:pPr>
      <w:r>
        <w:rPr>
          <w:noProof/>
        </w:rPr>
        <w:drawing>
          <wp:inline distT="0" distB="0" distL="0" distR="0" wp14:anchorId="3EAE3660" wp14:editId="3C68E834">
            <wp:extent cx="5486400" cy="3543300"/>
            <wp:effectExtent l="0" t="0" r="0" b="0"/>
            <wp:docPr id="2001848712" name="Figure 2.1. Key sectors of the sport industry landscape available to sport management graduates." descr="Figure 2.1. Key sectors of the sport industry landscape available to sport management graduates." title="Figure 2.1. Key sectors of the sport industry landscape available to sport management gradu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486400" cy="3543300"/>
                    </a:xfrm>
                    <a:prstGeom prst="rect">
                      <a:avLst/>
                    </a:prstGeom>
                  </pic:spPr>
                </pic:pic>
              </a:graphicData>
            </a:graphic>
          </wp:inline>
        </w:drawing>
      </w:r>
    </w:p>
    <w:p w14:paraId="6F6CF23A" w14:textId="77777777" w:rsidR="00834E21" w:rsidRDefault="00000000">
      <w:pPr>
        <w:spacing w:after="200"/>
        <w:jc w:val="center"/>
      </w:pPr>
      <w:r>
        <w:rPr>
          <w:rFonts w:ascii="Arial" w:eastAsia="Arial" w:hAnsi="Arial" w:cs="Arial"/>
          <w:i/>
          <w:iCs/>
          <w:color w:val="555555"/>
          <w:sz w:val="20"/>
          <w:szCs w:val="20"/>
        </w:rPr>
        <w:t>Figure 2.1. Key sectors of the sport industry landscape available to sport management graduates.</w:t>
      </w:r>
    </w:p>
    <w:p w14:paraId="41959308" w14:textId="77777777" w:rsidR="00834E21" w:rsidRDefault="00000000">
      <w:pPr>
        <w:pStyle w:val="Heading2"/>
        <w:spacing w:after="120"/>
      </w:pPr>
      <w:r>
        <w:t>2.2 Professional Sport Career Sectors</w:t>
      </w:r>
    </w:p>
    <w:p w14:paraId="22366C68" w14:textId="77777777" w:rsidR="00834E21" w:rsidRDefault="00000000">
      <w:pPr>
        <w:spacing w:after="160" w:line="360" w:lineRule="auto"/>
        <w:ind w:firstLine="720"/>
        <w:jc w:val="both"/>
      </w:pPr>
      <w:r>
        <w:t>Professional sport organizations represent some of the most visible and highly sought-after employers in the sport management field. Major leagues such as the NFL, NBA, MLB, NHL, MLS, and NWSL collectively employ thousands of front-office professionals across a wide range of functional areas. Entry-level positions in professional sport are typically concentrated in ticket sales, event operations, marketing activation, and community relations, with advancement pathways extending into partnership services, business development, media relations, and eventually senior management roles. The National Sports Forum and other industry conferences serve as important forums for connecting aspiring professionals with employers in these contexts.</w:t>
      </w:r>
    </w:p>
    <w:p w14:paraId="1CE984BC" w14:textId="77777777" w:rsidR="00834E21" w:rsidRDefault="00000000">
      <w:pPr>
        <w:spacing w:after="160" w:line="360" w:lineRule="auto"/>
        <w:ind w:firstLine="720"/>
        <w:jc w:val="both"/>
      </w:pPr>
      <w:r>
        <w:t xml:space="preserve">The sponsorship landscape in professional sport is particularly significant from a revenue generation standpoint. O'Reilly et al. (2018) conducted the first empirical research study specific to sponsorship sales in professional sport, finding that activation and servicing are highly important components of sponsorship sales and that sport properties in North American major leagues </w:t>
      </w:r>
      <w:r>
        <w:lastRenderedPageBreak/>
        <w:t>demonstrate a strong commitment to sponsorship sales through both organizational resources and the motivation of sales professionals. These findings underscore the importance of applied learning experiences that expose students to the full sponsorship lifecycle, from prospecting and proposal development through activation and renewal.</w:t>
      </w:r>
    </w:p>
    <w:p w14:paraId="4595E78E" w14:textId="77777777" w:rsidR="00834E21" w:rsidRDefault="00000000">
      <w:pPr>
        <w:spacing w:after="160" w:line="360" w:lineRule="auto"/>
        <w:ind w:firstLine="720"/>
        <w:jc w:val="both"/>
      </w:pPr>
      <w:r>
        <w:t>It is important for graduate students to approach professional sport career pathways with realistic expectations about compensation, work-life balance, and job security. Entry-level positions in professional sport frequently involve long hours, modest salaries, and high turnover environments. McNiff et al. (2014) documented that sport management students consistently learn through their applied experiences that sport industry jobs require longer hours than non-sport counterparts and that pay is often lower, especially at the beginning. Programs that integrate honest career conversations with applied learning experiences serve students better than those that allow romanticized industry narratives to go unchallenged.</w:t>
      </w:r>
    </w:p>
    <w:p w14:paraId="22E10276" w14:textId="77777777" w:rsidR="00834E21" w:rsidRDefault="00000000">
      <w:pPr>
        <w:pStyle w:val="Heading2"/>
        <w:spacing w:after="120"/>
      </w:pPr>
      <w:r>
        <w:t>2.3 Collegiate Athletics Opportunities</w:t>
      </w:r>
    </w:p>
    <w:p w14:paraId="2D283479" w14:textId="77777777" w:rsidR="00834E21" w:rsidRDefault="00000000">
      <w:pPr>
        <w:spacing w:after="160" w:line="360" w:lineRule="auto"/>
        <w:ind w:firstLine="720"/>
        <w:jc w:val="both"/>
      </w:pPr>
      <w:r>
        <w:t>Collegiate athletics represents one of the largest and most structurally complex sectors of the sport industry in the United States. NCAA Division I athletic departments operate as multimillion-dollar enterprises with extensive professional staffs covering fundraising and development, marketing, communications, ticketing, compliance, academic advising, event management, facilities, and student-athlete services. For sport management graduate students, these departments offer some of the most accessible and educationally rich applied learning environments available, particularly through graduate assistantship programs that provide sustained, mentored engagement with a specific functional area.</w:t>
      </w:r>
    </w:p>
    <w:p w14:paraId="7A71C3FF" w14:textId="77777777" w:rsidR="00834E21" w:rsidRDefault="00000000">
      <w:pPr>
        <w:spacing w:after="160" w:line="360" w:lineRule="auto"/>
        <w:ind w:firstLine="720"/>
        <w:jc w:val="both"/>
      </w:pPr>
      <w:r>
        <w:t>McFadden and Stenta (2015) argued that collegiate recreation and intercollegiate athletics have an impact on individual, group, and community development of students who are participants, employees, and athletes, noting that these environments apply leadership frameworks in meaningful ways. This observation reflects a broader literature documenting the developmental potential of athletic department employment for graduate students who approach the experience with intentionality and a commitment to learning. Graduate assistantships in areas such as athletic marketing, development and donor relations, compliance, operations, student-athlete services, and external relations provide functional depth alongside regular exposure to organizational culture and decision-making.</w:t>
      </w:r>
    </w:p>
    <w:p w14:paraId="7978F6C2" w14:textId="77777777" w:rsidR="00834E21" w:rsidRDefault="00000000">
      <w:pPr>
        <w:spacing w:after="160" w:line="360" w:lineRule="auto"/>
        <w:ind w:firstLine="720"/>
        <w:jc w:val="both"/>
      </w:pPr>
      <w:r>
        <w:lastRenderedPageBreak/>
        <w:t>The emergence of Name, Image, and Likeness (NIL) policy represents a significant structural shift in collegiate athletics that has created new professional roles and service needs. Sport management graduates with expertise in branding, marketing, legal affairs, or athlete representation are increasingly sought to support NIL program development at both the institutional and third-party levels. This development illustrates the broader principle that the collegiate athletics landscape is not static and that graduate students must maintain awareness of policy developments, technological changes, and market shifts that continuously reshape the professional landscape.</w:t>
      </w:r>
    </w:p>
    <w:p w14:paraId="309F6AB0" w14:textId="77777777" w:rsidR="00834E21" w:rsidRDefault="00000000">
      <w:pPr>
        <w:spacing w:after="160" w:line="360" w:lineRule="auto"/>
        <w:ind w:firstLine="720"/>
        <w:jc w:val="both"/>
      </w:pPr>
      <w:proofErr w:type="spellStart"/>
      <w:r>
        <w:t>Wohlfart</w:t>
      </w:r>
      <w:proofErr w:type="spellEnd"/>
      <w:r>
        <w:t xml:space="preserve"> et al. (2021) identified a significant competency gap between what sport industry employers expect from sport management graduates and what graduates perceive themselves as capable of delivering, particularly in the areas of stakeholder management, financial literacy, and organizational leadership. This gap is most pronounced at the graduate level, where the expectations of employers are highest. Graduate students who understand this gap can use it strategically, treating their academic preparation and their applied learning experiences as a deliberate campaign to close the distance between their current competencies and the professional standards their target employers will apply.</w:t>
      </w:r>
    </w:p>
    <w:p w14:paraId="6ECC9F4D" w14:textId="77777777" w:rsidR="00834E21" w:rsidRDefault="00000000">
      <w:pPr>
        <w:spacing w:after="160" w:line="360" w:lineRule="auto"/>
        <w:ind w:firstLine="720"/>
        <w:jc w:val="both"/>
      </w:pPr>
      <w:r>
        <w:t>The collegiate athletics landscape presents a particularly dynamic example of how rapidly the professional environment can shift, requiring practitioners to continuously update their professional competencies. The recent surge in private equity investment in collegiate athletic programs, the expansion of the transfer portal, and the ongoing negotiation of revenue-sharing agreements between universities and student-athletes have all created new professional roles and organizational challenges that did not exist five years ago. Graduate students who follow these developments actively, who engage with industry publications and practitioner forums, and who connect with professionals navigating these changes will develop the contextual intelligence that distinguishes truly prepared candidates from those with credentials alone.</w:t>
      </w:r>
    </w:p>
    <w:p w14:paraId="3B08441C" w14:textId="77777777" w:rsidR="00834E21" w:rsidRDefault="00000000">
      <w:pPr>
        <w:pStyle w:val="Heading2"/>
        <w:spacing w:after="120"/>
      </w:pPr>
      <w:r>
        <w:t>2.4 Event and Facility Management Pathways</w:t>
      </w:r>
    </w:p>
    <w:p w14:paraId="4729B8AB" w14:textId="77777777" w:rsidR="00834E21" w:rsidRDefault="00000000">
      <w:pPr>
        <w:spacing w:after="160" w:line="360" w:lineRule="auto"/>
        <w:ind w:firstLine="720"/>
        <w:jc w:val="both"/>
      </w:pPr>
      <w:r>
        <w:t xml:space="preserve">Event and facility management represents one of the most operationally intensive career pathways in sport management, requiring professionals who can coordinate complex logistics, manage large volunteer and staff teams, navigate stakeholder relationships, and respond effectively to unforeseen challenges. Career opportunities in this domain span stadium and arena operations, </w:t>
      </w:r>
      <w:r>
        <w:lastRenderedPageBreak/>
        <w:t>convention and conference management, sport tourism organizations, host committee roles for major championships, and destination marketing organizations.</w:t>
      </w:r>
    </w:p>
    <w:p w14:paraId="269E5170" w14:textId="77777777" w:rsidR="00834E21" w:rsidRDefault="00000000">
      <w:pPr>
        <w:spacing w:after="160" w:line="360" w:lineRule="auto"/>
        <w:ind w:firstLine="720"/>
        <w:jc w:val="both"/>
      </w:pPr>
      <w:r>
        <w:t>Taks et al. (2015) documented the multidimensional nature of sport event management, noting that events of all scales present opportunities for positive economic, social, and tourism outcomes for host communities and that the ability of local businesses and organizations to engage with a regional sport event is critical to the economic contribution to the community. For sport management graduates aspiring to careers in event management, this research underscores the importance of understanding events not merely as operational challenges but as strategic tools for community and economic development. Applied learning experiences that involve direct participation in event planning, sponsorship fulfillment, volunteer coordination, and fan experience development are essential preparation for this career pathway.</w:t>
      </w:r>
    </w:p>
    <w:p w14:paraId="22A6FCF2" w14:textId="77777777" w:rsidR="00834E21" w:rsidRDefault="00000000">
      <w:pPr>
        <w:spacing w:after="160" w:line="360" w:lineRule="auto"/>
        <w:ind w:firstLine="720"/>
        <w:jc w:val="both"/>
      </w:pPr>
      <w:r>
        <w:t>Facility management is a distinct but closely related career area that encompasses the ongoing operation, maintenance, programming, and commercial management of sport and entertainment venues. Sport management graduate students who pursue applied learning in facility settings develop competencies in areas such as event scheduling, financial management, labor relations, sustainability practices, and safety and security protocols. These competencies are broadly transferable across the public assembly facility industry and command strong employment prospects given the continued investment in new venue construction and renovation across the United States.</w:t>
      </w:r>
    </w:p>
    <w:p w14:paraId="7B429FC9"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75E94F06"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45F8D3FC"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Navigating Non-Linear Career Paths</w:t>
            </w:r>
          </w:p>
        </w:tc>
      </w:tr>
      <w:tr w:rsidR="00834E21" w14:paraId="41641214"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12898947" w14:textId="77777777" w:rsidR="00834E21" w:rsidRDefault="00000000">
            <w:pPr>
              <w:spacing w:line="320" w:lineRule="auto"/>
              <w:jc w:val="both"/>
            </w:pPr>
            <w:r>
              <w:rPr>
                <w:color w:val="1A1A1A"/>
                <w:sz w:val="22"/>
                <w:szCs w:val="22"/>
              </w:rPr>
              <w:t xml:space="preserve">A director of corporate partnerships at a major league baseball franchise described her career journey for a group of sport management graduate students this way: I started in ticket sales, moved to marketing, spent two years at a nonprofit sport organization, came back to a mid-market team in community relations, and then landed here. Every one of those stops taught me something the others could not. This non-linear career narrative is far more common in sport than the student who imagines a clean, ascending ladder from internship to coordinator to manager to director. Odio and Menaker (2023) documented that in a study of sport industry professionals with between five and fifteen years of experience, the average job tenure was only 23 months, and a large proportion of the sample changed between jobs in and out of the sport industry during their career. The most important thing you can do </w:t>
            </w:r>
            <w:r>
              <w:rPr>
                <w:color w:val="1A1A1A"/>
                <w:sz w:val="22"/>
                <w:szCs w:val="22"/>
              </w:rPr>
              <w:lastRenderedPageBreak/>
              <w:t>with your career roadmap is treat it as a living document that reflects your evolving understanding of the industry.</w:t>
            </w:r>
          </w:p>
        </w:tc>
      </w:tr>
    </w:tbl>
    <w:p w14:paraId="37166654" w14:textId="77777777" w:rsidR="00834E21" w:rsidRDefault="00834E21">
      <w:pPr>
        <w:spacing w:before="200"/>
      </w:pPr>
    </w:p>
    <w:p w14:paraId="71606EEB" w14:textId="77777777" w:rsidR="00834E21" w:rsidRDefault="00000000">
      <w:pPr>
        <w:pStyle w:val="Heading2"/>
        <w:spacing w:after="120"/>
      </w:pPr>
      <w:r>
        <w:t>2.5 Sport Marketing and Sponsorship Activation</w:t>
      </w:r>
    </w:p>
    <w:p w14:paraId="1B8C1560" w14:textId="77777777" w:rsidR="00834E21" w:rsidRDefault="00000000">
      <w:pPr>
        <w:spacing w:after="160" w:line="360" w:lineRule="auto"/>
        <w:ind w:firstLine="720"/>
        <w:jc w:val="both"/>
      </w:pPr>
      <w:r>
        <w:t>Marketing and sponsorship activation represent critical revenue drivers for sport organizations at every level and have accordingly become a primary focus of sport management graduate programs. Sport marketing encompasses the promotion of sport products and services, the development of brand identity, the management of fan experience, the creation of digital content, and the strategic use of data to understand and grow audiences. Sponsorship activation specifically refers to the programming and communications activities through which corporate partners leverage their sponsorship investments to achieve marketing objectives.</w:t>
      </w:r>
    </w:p>
    <w:p w14:paraId="681CBBD8" w14:textId="77777777" w:rsidR="00834E21" w:rsidRDefault="00000000">
      <w:pPr>
        <w:spacing w:after="160" w:line="360" w:lineRule="auto"/>
        <w:ind w:firstLine="720"/>
        <w:jc w:val="both"/>
      </w:pPr>
      <w:r>
        <w:t>O'Reilly et al. (2018) highlighted that activation and servicing are particularly important in the context of sponsorship sales, noting a shift in the activation and service paradigm driven by technology changes to digital channels and increased sophistication by the sponsorship sales departments of professional sport properties. Graduate students pursuing careers in marketing and sponsorship benefit from applied experiences that expose them to both the creative and analytical dimensions of the field, including social media management, CRM data analysis, sponsorship proposal development, and post-event reporting.</w:t>
      </w:r>
    </w:p>
    <w:p w14:paraId="315F419C" w14:textId="77777777" w:rsidR="00834E21" w:rsidRDefault="00000000">
      <w:pPr>
        <w:spacing w:after="160" w:line="360" w:lineRule="auto"/>
        <w:ind w:firstLine="720"/>
        <w:jc w:val="both"/>
      </w:pPr>
      <w:r>
        <w:t>The growing importance of digital media in sport marketing has created significant demand for graduates with competencies in content creation, search engine optimization, social media analytics, and streaming platform management. Programs that integrate these emerging competencies alongside traditional marketing principles will produce graduates best positioned to contribute immediately and grow over time in marketing-oriented roles. Applied learning experiences that include real responsibilities in digital content management, fan engagement campaign development, or sponsorship activation projects provide the kind of portfolio-building evidence that employers find most compelling.</w:t>
      </w:r>
    </w:p>
    <w:p w14:paraId="5FC3B51E" w14:textId="77777777" w:rsidR="005E4E01" w:rsidRDefault="005E4E01">
      <w:pPr>
        <w:spacing w:after="160" w:line="360" w:lineRule="auto"/>
        <w:ind w:firstLine="720"/>
        <w:jc w:val="both"/>
      </w:pPr>
    </w:p>
    <w:p w14:paraId="3DAD63DD" w14:textId="77777777" w:rsidR="005E4E01" w:rsidRDefault="005E4E01">
      <w:pPr>
        <w:spacing w:after="160" w:line="360" w:lineRule="auto"/>
        <w:ind w:firstLine="720"/>
        <w:jc w:val="both"/>
      </w:pPr>
    </w:p>
    <w:p w14:paraId="2E64C5FB" w14:textId="77777777" w:rsidR="00834E21" w:rsidRDefault="00000000">
      <w:pPr>
        <w:pStyle w:val="Heading2"/>
        <w:spacing w:after="120"/>
      </w:pPr>
      <w:r>
        <w:lastRenderedPageBreak/>
        <w:t>2.6 Revenue Generation and Ticket Sales</w:t>
      </w:r>
    </w:p>
    <w:p w14:paraId="6B0BEC86" w14:textId="77777777" w:rsidR="00834E21" w:rsidRDefault="00000000">
      <w:pPr>
        <w:spacing w:after="160" w:line="360" w:lineRule="auto"/>
        <w:ind w:firstLine="720"/>
        <w:jc w:val="both"/>
      </w:pPr>
      <w:r>
        <w:t xml:space="preserve">Ticket sales </w:t>
      </w:r>
      <w:proofErr w:type="gramStart"/>
      <w:r>
        <w:t>remains</w:t>
      </w:r>
      <w:proofErr w:type="gramEnd"/>
      <w:r>
        <w:t xml:space="preserve"> one of the most reliable entry points into the sport industry, largely because it provides early, direct revenue generation experience and because sales skills are broadly transferable across organizations and sectors. Professional sport teams, collegiate athletic departments, and event management organizations consistently seek candidates with demonstrated sales aptitude, and many organizations maintain structured training programs designed to develop new sales professionals from the ground up.</w:t>
      </w:r>
    </w:p>
    <w:p w14:paraId="437DAF50" w14:textId="77777777" w:rsidR="00834E21" w:rsidRDefault="00000000">
      <w:pPr>
        <w:spacing w:after="160" w:line="360" w:lineRule="auto"/>
        <w:ind w:firstLine="720"/>
        <w:jc w:val="both"/>
      </w:pPr>
      <w:r>
        <w:t>Popp et al. (2017) examined the effectiveness of sport ticket sales training, finding a statistically significant relationship between the amount of time spent in certain sales training methods and attainment of sales goals, and noting an alarming lack of systematic sales training being conducted in the industry. This finding suggests that organizations which invest substantively in sales training produce better revenue outcomes and that graduate students who receive formal sales training through academic programs arrive with a measurable advantage. Pierce et al. (2011) documented similar findings in the collegiate context, showing that students who completed an experiential, client-based sport sales course significantly improved their knowledge and sales call effectiveness compared to a control group.</w:t>
      </w:r>
    </w:p>
    <w:p w14:paraId="47BB79C9" w14:textId="77777777" w:rsidR="00834E21" w:rsidRDefault="00000000">
      <w:pPr>
        <w:spacing w:after="160" w:line="360" w:lineRule="auto"/>
        <w:ind w:firstLine="720"/>
        <w:jc w:val="both"/>
      </w:pPr>
      <w:r>
        <w:t>Popp et al. (2020) investigated the effects of outsourcing ticket sales force management, finding that both internally managed and outsourced ticket sales forces produced significant increases in ticket revenue compared to not employing a dedicated sales force. These findings confirm the strategic importance of professional sales capacity for sport organizations and provide context for graduate students considering careers in revenue generation. The National Collegiate Sports Sales Championship hosted by Baylor University and similar competitions offer excellent applied learning opportunities for students to develop sales skills, experience competitive sales environments, and network with industry recruiters.</w:t>
      </w:r>
    </w:p>
    <w:p w14:paraId="7E3BF92B" w14:textId="77777777" w:rsidR="00834E21" w:rsidRDefault="00000000">
      <w:pPr>
        <w:pStyle w:val="Heading2"/>
        <w:spacing w:after="120"/>
      </w:pPr>
      <w:r>
        <w:t>2.7 Media Relations and Digital Content</w:t>
      </w:r>
    </w:p>
    <w:p w14:paraId="5DD2EF10" w14:textId="77777777" w:rsidR="00834E21" w:rsidRDefault="00000000">
      <w:pPr>
        <w:spacing w:after="160" w:line="360" w:lineRule="auto"/>
        <w:ind w:firstLine="720"/>
        <w:jc w:val="both"/>
      </w:pPr>
      <w:r>
        <w:t xml:space="preserve">Sport media relations and digital content represent career pathways that require both specialized communication skills and a deep understanding of the sport industry. Athletic communications professionals serve as the primary liaison between sport organizations and media outlets, managing press releases, coordinating media access, overseeing social media channels, </w:t>
      </w:r>
      <w:r>
        <w:lastRenderedPageBreak/>
        <w:t>and producing multimedia content including podcasts, video features, and digital magazines. The democratization of content creation through social media and streaming platforms has expanded the range of roles available in this domain and increased the demand for professionals with versatile digital production skills.</w:t>
      </w:r>
    </w:p>
    <w:p w14:paraId="002A302D" w14:textId="77777777" w:rsidR="00834E21" w:rsidRDefault="00000000">
      <w:pPr>
        <w:spacing w:after="160" w:line="360" w:lineRule="auto"/>
        <w:ind w:firstLine="720"/>
        <w:jc w:val="both"/>
      </w:pPr>
      <w:r>
        <w:t>Graduate students pursuing careers in sport communications benefit from applied learning experiences that include direct responsibility for content production under deadline pressure, interaction with print and broadcast media, and management of organizational social media accounts. Park et al. (2020) studied how student-athletes perceive and use social media for personal branding purposes, finding that effective social media strategies require awareness of both the benefits and barriers of social media use and that negative consequences of undisciplined social media activity are a genuine professional risk. These findings have implications not only for student-athletes but for communications professionals who must advise and educate the athletes, coaches, and administrators whose social media activity reflects on the organization.</w:t>
      </w:r>
    </w:p>
    <w:p w14:paraId="6D86EF62" w14:textId="77777777" w:rsidR="00834E21" w:rsidRDefault="00000000">
      <w:pPr>
        <w:pStyle w:val="Heading2"/>
        <w:spacing w:after="120"/>
      </w:pPr>
      <w:r>
        <w:t>2.8 Esports and Emerging Sport Industries</w:t>
      </w:r>
    </w:p>
    <w:p w14:paraId="6C9A75EA" w14:textId="77777777" w:rsidR="00834E21" w:rsidRDefault="00000000">
      <w:pPr>
        <w:spacing w:after="160" w:line="360" w:lineRule="auto"/>
        <w:ind w:firstLine="720"/>
        <w:jc w:val="both"/>
      </w:pPr>
      <w:r>
        <w:t xml:space="preserve">Esports </w:t>
      </w:r>
      <w:proofErr w:type="gramStart"/>
      <w:r>
        <w:t>represents</w:t>
      </w:r>
      <w:proofErr w:type="gramEnd"/>
      <w:r>
        <w:t xml:space="preserve"> one of the fastest-growing sectors in the broader sport and entertainment landscape. The global esports industry has attracted major investment from traditional sport franchise owners, media companies, technology firms, and consumer brands, and college esports programs have proliferated rapidly at institutions across the United States. For sport management graduates, esports </w:t>
      </w:r>
      <w:proofErr w:type="gramStart"/>
      <w:r>
        <w:t>presents</w:t>
      </w:r>
      <w:proofErr w:type="gramEnd"/>
      <w:r>
        <w:t xml:space="preserve"> career opportunities in areas including team operations, league administration, event production, sponsorship and marketing, media rights, and fan experience, many of which parallel traditional sport management competencies while requiring additional familiarity with gaming culture and technology ecosystems.</w:t>
      </w:r>
    </w:p>
    <w:p w14:paraId="7CAA8F0F" w14:textId="77777777" w:rsidR="00834E21" w:rsidRDefault="00000000">
      <w:pPr>
        <w:spacing w:after="160" w:line="360" w:lineRule="auto"/>
        <w:ind w:firstLine="720"/>
        <w:jc w:val="both"/>
      </w:pPr>
      <w:r>
        <w:t>Perry et al. (2022) noted that the belief that sport management programs should involve more business dimensions and entrepreneurship education is trending in the field, a perspective directly relevant to emerging sectors such as esports where traditional organizational models are still evolving. Graduate students interested in esports careers benefit from applied learning experiences that provide direct engagement with esports organizations, gaming communities, or collegiate esports programs, as well as coursework that addresses the legal, commercial, and governance dimensions of this rapidly developing sector.</w:t>
      </w:r>
    </w:p>
    <w:p w14:paraId="363F38CC" w14:textId="77777777" w:rsidR="00834E21" w:rsidRDefault="00000000">
      <w:pPr>
        <w:spacing w:after="160" w:line="360" w:lineRule="auto"/>
        <w:ind w:firstLine="720"/>
        <w:jc w:val="both"/>
      </w:pPr>
      <w:r>
        <w:lastRenderedPageBreak/>
        <w:t>Beyond esports, other emerging areas in the sport management landscape include sport technology startups, wearable performance analytics, sport-adjacent health and wellness services, and blockchain-based fan engagement platforms. Graduate students who maintain curiosity about these emerging sectors and pursue applied learning experiences beyond traditional organizational contexts will develop the adaptive professional identity best suited to a dynamic and evolving industry.</w:t>
      </w:r>
    </w:p>
    <w:p w14:paraId="760267E6" w14:textId="77777777" w:rsidR="00834E21" w:rsidRDefault="00000000">
      <w:pPr>
        <w:pStyle w:val="Heading2"/>
        <w:spacing w:after="120"/>
      </w:pPr>
      <w:r>
        <w:t>Discussion Questions</w:t>
      </w:r>
    </w:p>
    <w:p w14:paraId="5558CB61" w14:textId="77777777" w:rsidR="00834E21" w:rsidRDefault="00000000">
      <w:pPr>
        <w:spacing w:before="100" w:after="60" w:line="320" w:lineRule="auto"/>
        <w:ind w:left="720" w:hanging="360"/>
        <w:jc w:val="both"/>
      </w:pPr>
      <w:r>
        <w:rPr>
          <w:b/>
          <w:bCs/>
          <w:sz w:val="22"/>
          <w:szCs w:val="22"/>
        </w:rPr>
        <w:t xml:space="preserve">1. </w:t>
      </w:r>
      <w:r>
        <w:rPr>
          <w:sz w:val="22"/>
          <w:szCs w:val="22"/>
        </w:rPr>
        <w:t>Odio and Menaker (2023) found that sport professionals frequently change jobs and sectors throughout their careers. How does this reality challenge or affirm the traditional approach to sport management career planning? What implications does it have for the competencies graduate programs should prioritize?</w:t>
      </w:r>
    </w:p>
    <w:p w14:paraId="4A7F2693" w14:textId="77777777" w:rsidR="00834E21" w:rsidRDefault="00000000">
      <w:pPr>
        <w:spacing w:before="100" w:after="60" w:line="320" w:lineRule="auto"/>
        <w:ind w:left="720" w:hanging="360"/>
        <w:jc w:val="both"/>
      </w:pPr>
      <w:r>
        <w:rPr>
          <w:b/>
          <w:bCs/>
          <w:sz w:val="22"/>
          <w:szCs w:val="22"/>
        </w:rPr>
        <w:t xml:space="preserve">2. </w:t>
      </w:r>
      <w:r>
        <w:rPr>
          <w:sz w:val="22"/>
          <w:szCs w:val="22"/>
        </w:rPr>
        <w:t>O'Reilly et al. (2018) found that turnover of sponsors may be a structural issue in professional sport sponsorship. What factors contribute to sponsor turnover and how can sport organizations structure their sponsorship activation practices to improve retention?</w:t>
      </w:r>
    </w:p>
    <w:p w14:paraId="0AF7A32E" w14:textId="77777777" w:rsidR="00834E21" w:rsidRDefault="00000000">
      <w:pPr>
        <w:spacing w:before="100" w:after="60" w:line="320" w:lineRule="auto"/>
        <w:ind w:left="720" w:hanging="360"/>
        <w:jc w:val="both"/>
      </w:pPr>
      <w:r>
        <w:rPr>
          <w:b/>
          <w:bCs/>
          <w:sz w:val="22"/>
          <w:szCs w:val="22"/>
        </w:rPr>
        <w:t xml:space="preserve">3. </w:t>
      </w:r>
      <w:r>
        <w:rPr>
          <w:sz w:val="22"/>
          <w:szCs w:val="22"/>
        </w:rPr>
        <w:t>The NIL era in collegiate athletics has created new professional roles at the intersection of branding, marketing, and athlete services. Identify a specific NIL-related professional role that interests you and articulate the competencies a graduate student would need to develop to pursue it effectively.</w:t>
      </w:r>
    </w:p>
    <w:p w14:paraId="593BE404" w14:textId="77777777" w:rsidR="00834E21" w:rsidRDefault="00000000">
      <w:pPr>
        <w:spacing w:before="100" w:after="60" w:line="320" w:lineRule="auto"/>
        <w:ind w:left="720" w:hanging="360"/>
        <w:jc w:val="both"/>
      </w:pPr>
      <w:r>
        <w:rPr>
          <w:b/>
          <w:bCs/>
          <w:sz w:val="22"/>
          <w:szCs w:val="22"/>
        </w:rPr>
        <w:t xml:space="preserve">4. </w:t>
      </w:r>
      <w:r>
        <w:rPr>
          <w:sz w:val="22"/>
          <w:szCs w:val="22"/>
        </w:rPr>
        <w:t>Taks et al. (2015) argued that non-mega events may produce more positive community outcomes than mega-events because they allow for tighter social networks and community connectedness. What implications does this have for how sport management graduates think about working in event management at the local, regional, and national levels?</w:t>
      </w:r>
    </w:p>
    <w:p w14:paraId="69A75228" w14:textId="77777777" w:rsidR="00834E21" w:rsidRDefault="00000000">
      <w:pPr>
        <w:spacing w:before="100" w:after="60" w:line="320" w:lineRule="auto"/>
        <w:ind w:left="720" w:hanging="360"/>
        <w:jc w:val="both"/>
      </w:pPr>
      <w:r>
        <w:rPr>
          <w:b/>
          <w:bCs/>
          <w:sz w:val="22"/>
          <w:szCs w:val="22"/>
        </w:rPr>
        <w:t xml:space="preserve">5. </w:t>
      </w:r>
      <w:r>
        <w:rPr>
          <w:sz w:val="22"/>
          <w:szCs w:val="22"/>
        </w:rPr>
        <w:t>Park et al. (2020) found that student-athletes face both benefits and risks from social media use for personal branding. How does this tension apply to sport management professionals more broadly, and how should professionals navigate it?</w:t>
      </w:r>
    </w:p>
    <w:p w14:paraId="600C179B" w14:textId="77777777" w:rsidR="005E4E01" w:rsidRDefault="005E4E01">
      <w:pPr>
        <w:pStyle w:val="Heading2"/>
        <w:spacing w:after="120"/>
      </w:pPr>
    </w:p>
    <w:p w14:paraId="55170E84" w14:textId="77777777" w:rsidR="005E4E01" w:rsidRDefault="005E4E01">
      <w:pPr>
        <w:pStyle w:val="Heading2"/>
        <w:spacing w:after="120"/>
      </w:pPr>
    </w:p>
    <w:p w14:paraId="132DE600" w14:textId="77777777" w:rsidR="005E4E01" w:rsidRDefault="005E4E01">
      <w:pPr>
        <w:pStyle w:val="Heading2"/>
        <w:spacing w:after="120"/>
      </w:pPr>
    </w:p>
    <w:p w14:paraId="5EB26525" w14:textId="77777777" w:rsidR="005E4E01" w:rsidRDefault="005E4E01">
      <w:pPr>
        <w:pStyle w:val="Heading2"/>
        <w:spacing w:after="120"/>
      </w:pPr>
    </w:p>
    <w:p w14:paraId="16580EF8" w14:textId="77777777" w:rsidR="005E4E01" w:rsidRDefault="005E4E01">
      <w:pPr>
        <w:pStyle w:val="Heading2"/>
        <w:spacing w:after="120"/>
      </w:pPr>
    </w:p>
    <w:p w14:paraId="62533C09" w14:textId="77777777" w:rsidR="005E4E01" w:rsidRDefault="005E4E01">
      <w:pPr>
        <w:pStyle w:val="Heading2"/>
        <w:spacing w:after="120"/>
      </w:pPr>
    </w:p>
    <w:p w14:paraId="3B2EA577" w14:textId="2E33227A" w:rsidR="00834E21" w:rsidRDefault="00000000" w:rsidP="005E4E01">
      <w:pPr>
        <w:pStyle w:val="Heading2"/>
        <w:spacing w:after="120"/>
      </w:pPr>
      <w:r>
        <w:t>Reflection Practices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65"/>
        <w:gridCol w:w="6395"/>
      </w:tblGrid>
      <w:tr w:rsidR="00834E21" w14:paraId="0ECF8D62" w14:textId="77777777" w:rsidTr="005E4E01">
        <w:tblPrEx>
          <w:tblCellMar>
            <w:top w:w="0" w:type="dxa"/>
            <w:bottom w:w="0" w:type="dxa"/>
          </w:tblCellMar>
        </w:tblPrEx>
        <w:tc>
          <w:tcPr>
            <w:tcW w:w="2965"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2F170B5B" w14:textId="77777777" w:rsidR="00834E21" w:rsidRDefault="00000000">
            <w:pPr>
              <w:jc w:val="center"/>
            </w:pPr>
            <w:r>
              <w:rPr>
                <w:rFonts w:ascii="Arial" w:eastAsia="Arial" w:hAnsi="Arial" w:cs="Arial"/>
                <w:b/>
                <w:bCs/>
                <w:color w:val="2E4057"/>
                <w:sz w:val="28"/>
                <w:szCs w:val="28"/>
              </w:rPr>
              <w:t>1</w:t>
            </w:r>
          </w:p>
        </w:tc>
        <w:tc>
          <w:tcPr>
            <w:tcW w:w="6395" w:type="dxa"/>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221B5D1B" w14:textId="77777777" w:rsidR="00834E21" w:rsidRDefault="00000000">
            <w:pPr>
              <w:spacing w:line="300" w:lineRule="auto"/>
              <w:jc w:val="both"/>
            </w:pPr>
            <w:r>
              <w:rPr>
                <w:b/>
                <w:bCs/>
                <w:color w:val="2E4057"/>
                <w:sz w:val="22"/>
                <w:szCs w:val="22"/>
              </w:rPr>
              <w:t xml:space="preserve">Industry Sector Mapping: Create a detailed visual map of the sport industry organized by organizational type, sport context, and functional domain. </w:t>
            </w:r>
            <w:r>
              <w:rPr>
                <w:color w:val="1A1A1A"/>
                <w:sz w:val="22"/>
                <w:szCs w:val="22"/>
              </w:rPr>
              <w:t>Identify three to five sectors or functional areas you find most interesting and write a 300-word rationale for each, connecting your interests to your academic background and professional goals.</w:t>
            </w:r>
          </w:p>
        </w:tc>
      </w:tr>
      <w:tr w:rsidR="00834E21" w14:paraId="63243AD0" w14:textId="77777777" w:rsidTr="005E4E01">
        <w:tblPrEx>
          <w:tblCellMar>
            <w:top w:w="0" w:type="dxa"/>
            <w:bottom w:w="0" w:type="dxa"/>
          </w:tblCellMar>
        </w:tblPrEx>
        <w:tc>
          <w:tcPr>
            <w:tcW w:w="2965"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4B6FA166" w14:textId="77777777" w:rsidR="00834E21" w:rsidRDefault="00000000">
            <w:pPr>
              <w:jc w:val="center"/>
            </w:pPr>
            <w:r>
              <w:rPr>
                <w:rFonts w:ascii="Arial" w:eastAsia="Arial" w:hAnsi="Arial" w:cs="Arial"/>
                <w:b/>
                <w:bCs/>
                <w:color w:val="2E4057"/>
                <w:sz w:val="28"/>
                <w:szCs w:val="28"/>
              </w:rPr>
              <w:t>2</w:t>
            </w:r>
          </w:p>
        </w:tc>
        <w:tc>
          <w:tcPr>
            <w:tcW w:w="6395" w:type="dxa"/>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148F93C2" w14:textId="77777777" w:rsidR="00834E21" w:rsidRDefault="00000000">
            <w:pPr>
              <w:spacing w:line="300" w:lineRule="auto"/>
              <w:jc w:val="both"/>
            </w:pPr>
            <w:r>
              <w:rPr>
                <w:b/>
                <w:bCs/>
                <w:color w:val="2E4057"/>
                <w:sz w:val="22"/>
                <w:szCs w:val="22"/>
              </w:rPr>
              <w:t xml:space="preserve">Career Interview Series: Conduct a minimum of two informational interviews with sport industry professionals working in different sectors. </w:t>
            </w:r>
            <w:r>
              <w:rPr>
                <w:color w:val="1A1A1A"/>
                <w:sz w:val="22"/>
                <w:szCs w:val="22"/>
              </w:rPr>
              <w:t>Prepare at least five questions grounded in the material from this chapter. Write a comparative reflection analyzing the career pathways, daily responsibilities, and professional development strategies described by your interviewees.</w:t>
            </w:r>
          </w:p>
        </w:tc>
      </w:tr>
      <w:tr w:rsidR="00834E21" w14:paraId="6842B1E0" w14:textId="77777777" w:rsidTr="005E4E01">
        <w:tblPrEx>
          <w:tblCellMar>
            <w:top w:w="0" w:type="dxa"/>
            <w:bottom w:w="0" w:type="dxa"/>
          </w:tblCellMar>
        </w:tblPrEx>
        <w:tc>
          <w:tcPr>
            <w:tcW w:w="2965"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7FF12662" w14:textId="77777777" w:rsidR="00834E21" w:rsidRDefault="00000000">
            <w:pPr>
              <w:jc w:val="center"/>
            </w:pPr>
            <w:r>
              <w:rPr>
                <w:rFonts w:ascii="Arial" w:eastAsia="Arial" w:hAnsi="Arial" w:cs="Arial"/>
                <w:b/>
                <w:bCs/>
                <w:color w:val="2E4057"/>
                <w:sz w:val="28"/>
                <w:szCs w:val="28"/>
              </w:rPr>
              <w:t>3</w:t>
            </w:r>
          </w:p>
        </w:tc>
        <w:tc>
          <w:tcPr>
            <w:tcW w:w="6395" w:type="dxa"/>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615A8239" w14:textId="77777777" w:rsidR="00834E21" w:rsidRDefault="00000000">
            <w:pPr>
              <w:spacing w:line="300" w:lineRule="auto"/>
              <w:jc w:val="both"/>
            </w:pPr>
            <w:r>
              <w:rPr>
                <w:b/>
                <w:bCs/>
                <w:color w:val="2E4057"/>
                <w:sz w:val="22"/>
                <w:szCs w:val="22"/>
              </w:rPr>
              <w:t xml:space="preserve">Revenue Generation Role-Play: Partner with a classmate to conduct a simulated ticket sales call for a hypothetical sport property. </w:t>
            </w:r>
            <w:r>
              <w:rPr>
                <w:color w:val="1A1A1A"/>
                <w:sz w:val="22"/>
                <w:szCs w:val="22"/>
              </w:rPr>
              <w:t>Using the research of Pierce et al. (2011) as a framework, evaluate each other's performance on at least seven dimensions including opening the sale, identifying needs, presenting benefits, and handling objections.</w:t>
            </w:r>
          </w:p>
        </w:tc>
      </w:tr>
      <w:tr w:rsidR="00834E21" w14:paraId="7BA488A5" w14:textId="77777777" w:rsidTr="005E4E01">
        <w:tblPrEx>
          <w:tblCellMar>
            <w:top w:w="0" w:type="dxa"/>
            <w:bottom w:w="0" w:type="dxa"/>
          </w:tblCellMar>
        </w:tblPrEx>
        <w:tc>
          <w:tcPr>
            <w:tcW w:w="2965"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61AED12A" w14:textId="77777777" w:rsidR="00834E21" w:rsidRDefault="00000000">
            <w:pPr>
              <w:jc w:val="center"/>
            </w:pPr>
            <w:r>
              <w:rPr>
                <w:rFonts w:ascii="Arial" w:eastAsia="Arial" w:hAnsi="Arial" w:cs="Arial"/>
                <w:b/>
                <w:bCs/>
                <w:color w:val="2E4057"/>
                <w:sz w:val="28"/>
                <w:szCs w:val="28"/>
              </w:rPr>
              <w:t>4</w:t>
            </w:r>
          </w:p>
        </w:tc>
        <w:tc>
          <w:tcPr>
            <w:tcW w:w="6395" w:type="dxa"/>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0A9B1C97" w14:textId="77777777" w:rsidR="00834E21" w:rsidRDefault="00000000">
            <w:pPr>
              <w:spacing w:line="300" w:lineRule="auto"/>
              <w:jc w:val="both"/>
            </w:pPr>
            <w:r>
              <w:rPr>
                <w:b/>
                <w:bCs/>
                <w:color w:val="2E4057"/>
                <w:sz w:val="22"/>
                <w:szCs w:val="22"/>
              </w:rPr>
              <w:t>Emerging Sector Research Brief: Select one emerging sector in sport management (esports, sport technology, NIL, sport analytics, or another area not yet fully mapped by the literature) and produce a 600-word research brief summarizing the sector's current state, key employers, required competencies, and most promising pathways to entry-level employment.</w:t>
            </w:r>
          </w:p>
        </w:tc>
      </w:tr>
      <w:tr w:rsidR="00834E21" w14:paraId="74CECBB6" w14:textId="77777777" w:rsidTr="005E4E01">
        <w:tblPrEx>
          <w:tblCellMar>
            <w:top w:w="0" w:type="dxa"/>
            <w:bottom w:w="0" w:type="dxa"/>
          </w:tblCellMar>
        </w:tblPrEx>
        <w:tc>
          <w:tcPr>
            <w:tcW w:w="2965"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721B2031" w14:textId="77777777" w:rsidR="00834E21" w:rsidRDefault="00000000">
            <w:pPr>
              <w:jc w:val="center"/>
            </w:pPr>
            <w:r>
              <w:rPr>
                <w:rFonts w:ascii="Arial" w:eastAsia="Arial" w:hAnsi="Arial" w:cs="Arial"/>
                <w:b/>
                <w:bCs/>
                <w:color w:val="2E4057"/>
                <w:sz w:val="28"/>
                <w:szCs w:val="28"/>
              </w:rPr>
              <w:t>5</w:t>
            </w:r>
          </w:p>
        </w:tc>
        <w:tc>
          <w:tcPr>
            <w:tcW w:w="6395" w:type="dxa"/>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15AEFA8E" w14:textId="77777777" w:rsidR="00834E21" w:rsidRDefault="00000000">
            <w:pPr>
              <w:spacing w:line="300" w:lineRule="auto"/>
              <w:jc w:val="both"/>
            </w:pPr>
            <w:r>
              <w:rPr>
                <w:b/>
                <w:bCs/>
                <w:color w:val="2E4057"/>
                <w:sz w:val="22"/>
                <w:szCs w:val="22"/>
              </w:rPr>
              <w:t xml:space="preserve">Five-Year Career Roadmap Draft: Develop a draft five-year career roadmap that identifies specific experiential learning opportunities, networking milestones, competency development goals, and target positions for each of the next five years. </w:t>
            </w:r>
            <w:r>
              <w:rPr>
                <w:color w:val="1A1A1A"/>
                <w:sz w:val="22"/>
                <w:szCs w:val="22"/>
              </w:rPr>
              <w:t>This document will be revised and refined throughout the course.</w:t>
            </w:r>
          </w:p>
        </w:tc>
      </w:tr>
    </w:tbl>
    <w:p w14:paraId="3C69F2D0" w14:textId="77777777" w:rsidR="00834E21" w:rsidRDefault="00834E21">
      <w:pPr>
        <w:spacing w:before="240"/>
      </w:pPr>
    </w:p>
    <w:p w14:paraId="1AB465F4" w14:textId="77777777" w:rsidR="005E4E01" w:rsidRDefault="005E4E01">
      <w:pPr>
        <w:pStyle w:val="Heading2"/>
        <w:spacing w:after="120"/>
      </w:pPr>
    </w:p>
    <w:p w14:paraId="373E1944" w14:textId="3FDCF51E" w:rsidR="00834E21" w:rsidRDefault="00000000">
      <w:pPr>
        <w:pStyle w:val="Heading2"/>
        <w:spacing w:after="120"/>
      </w:pPr>
      <w:r>
        <w:lastRenderedPageBreak/>
        <w:t>References</w:t>
      </w:r>
    </w:p>
    <w:p w14:paraId="645C041E" w14:textId="77777777" w:rsidR="00834E21" w:rsidRDefault="00000000">
      <w:pPr>
        <w:spacing w:before="60" w:after="60" w:line="320" w:lineRule="auto"/>
        <w:ind w:left="720" w:hanging="720"/>
        <w:jc w:val="both"/>
      </w:pPr>
      <w:r>
        <w:rPr>
          <w:sz w:val="22"/>
          <w:szCs w:val="22"/>
        </w:rPr>
        <w:t>McFadden, C. W., &amp; Stenta, D. A. (2015). Connecting collegiate recreation and athletics to leadership. New Directions for Student Leadership, 147, 5-18. https://doi.org/10.1002/yd.20139</w:t>
      </w:r>
    </w:p>
    <w:p w14:paraId="3916D880" w14:textId="77777777" w:rsidR="00834E21" w:rsidRDefault="00000000">
      <w:pPr>
        <w:spacing w:before="60" w:after="60" w:line="320" w:lineRule="auto"/>
        <w:ind w:left="720" w:hanging="720"/>
        <w:jc w:val="both"/>
      </w:pPr>
      <w:r>
        <w:rPr>
          <w:sz w:val="22"/>
          <w:szCs w:val="22"/>
        </w:rPr>
        <w:t>McNiff, J., Fried, G., &amp; Mahoney, K. (2014). Learning sport management. Human Kinetics. https://doi.org/10.4135/9781526434203</w:t>
      </w:r>
    </w:p>
    <w:p w14:paraId="3C7C8C07" w14:textId="77777777" w:rsidR="00834E21" w:rsidRDefault="00000000">
      <w:pPr>
        <w:spacing w:before="60" w:after="60" w:line="320" w:lineRule="auto"/>
        <w:ind w:left="720" w:hanging="720"/>
        <w:jc w:val="both"/>
      </w:pPr>
      <w:r>
        <w:rPr>
          <w:sz w:val="22"/>
          <w:szCs w:val="22"/>
        </w:rPr>
        <w:t>Odio, M. A., &amp; Menaker, B. E. (2023). Rethinking the sport management internship. Sports Innovation Journal, 4(SI), 152-162. https://doi.org/10.18060/27358</w:t>
      </w:r>
    </w:p>
    <w:p w14:paraId="1114C71B" w14:textId="77777777" w:rsidR="00834E21" w:rsidRDefault="00000000">
      <w:pPr>
        <w:spacing w:before="60" w:after="60" w:line="320" w:lineRule="auto"/>
        <w:ind w:left="720" w:hanging="720"/>
        <w:jc w:val="both"/>
      </w:pPr>
      <w:r>
        <w:rPr>
          <w:sz w:val="22"/>
          <w:szCs w:val="22"/>
        </w:rPr>
        <w:t>O'Reilly, N., Stroebel, T., &amp; Pfahl, M. E. (2018). An empirical exploration of sponsorship sales in North American professional sport. Sport Business and Management, 8(1), 15-34. https://doi.org/10.1108/sbm-07-2016-0035</w:t>
      </w:r>
    </w:p>
    <w:p w14:paraId="65271320" w14:textId="77777777" w:rsidR="00834E21" w:rsidRDefault="00000000">
      <w:pPr>
        <w:spacing w:before="60" w:after="60" w:line="320" w:lineRule="auto"/>
        <w:ind w:left="720" w:hanging="720"/>
        <w:jc w:val="both"/>
      </w:pPr>
      <w:r>
        <w:rPr>
          <w:sz w:val="22"/>
          <w:szCs w:val="22"/>
        </w:rPr>
        <w:t>Park, J., Williams, A. S., &amp; Son, S. (2020). Social media as a personal branding tool: A qualitative study of student-athletes' perceptions and behaviors. Journal of Athlete Development and Experience, 2(1). https://doi.org/10.25035/jade.02.01.04</w:t>
      </w:r>
    </w:p>
    <w:p w14:paraId="271594EF" w14:textId="77777777" w:rsidR="00834E21" w:rsidRDefault="00000000">
      <w:pPr>
        <w:spacing w:before="60" w:after="60" w:line="320" w:lineRule="auto"/>
        <w:ind w:left="720" w:hanging="720"/>
        <w:jc w:val="both"/>
      </w:pPr>
      <w:r>
        <w:rPr>
          <w:sz w:val="22"/>
          <w:szCs w:val="22"/>
        </w:rPr>
        <w:t>Perry, J., Anderson, A. J., &amp; Ohrberg, N. J. (2022). The digital paradigm shift: Challenges faced by HBCU sport management programs in light of modernization. Journal of Education and Recreation Patterns, 3(1), 25-35. https://doi.org/10.53016/jerp.v3i1.42</w:t>
      </w:r>
    </w:p>
    <w:p w14:paraId="01FF544B" w14:textId="77777777" w:rsidR="00834E21" w:rsidRDefault="00000000">
      <w:pPr>
        <w:spacing w:before="60" w:after="60" w:line="320" w:lineRule="auto"/>
        <w:ind w:left="720" w:hanging="720"/>
        <w:jc w:val="both"/>
      </w:pPr>
      <w:r>
        <w:rPr>
          <w:sz w:val="22"/>
          <w:szCs w:val="22"/>
        </w:rPr>
        <w:t>Pierce, D. A., Petersen, J., &amp; Meadows, B. J. (2011). Authentic assessment of experiential learning in sport sales. Sport Marketing Quarterly, 20(2), 75-83. https://doi.org/10.1177/106169341102000204</w:t>
      </w:r>
    </w:p>
    <w:p w14:paraId="3B516EF4" w14:textId="77777777" w:rsidR="00834E21" w:rsidRDefault="00000000">
      <w:pPr>
        <w:spacing w:before="60" w:after="60" w:line="320" w:lineRule="auto"/>
        <w:ind w:left="720" w:hanging="720"/>
        <w:jc w:val="both"/>
      </w:pPr>
      <w:r>
        <w:rPr>
          <w:sz w:val="22"/>
          <w:szCs w:val="22"/>
        </w:rPr>
        <w:t>Popp, N., Jensen, J. A., &amp; McEvoy, C. D. (2020). An examination of the effects of outsourcing ticket sales force management. International Journal of Sports Marketing and Sponsorship, 21(2), 205-223. https://doi.org/10.1108/ijsms-04-2019-0046</w:t>
      </w:r>
    </w:p>
    <w:p w14:paraId="3E1A58D7" w14:textId="77777777" w:rsidR="00834E21" w:rsidRDefault="00000000">
      <w:pPr>
        <w:spacing w:before="60" w:after="60" w:line="320" w:lineRule="auto"/>
        <w:ind w:left="720" w:hanging="720"/>
        <w:jc w:val="both"/>
      </w:pPr>
      <w:r>
        <w:rPr>
          <w:sz w:val="22"/>
          <w:szCs w:val="22"/>
        </w:rPr>
        <w:t>Popp, N., Simmons, J., &amp; McEvoy, C. D. (2017). Sport ticket sales training: Perceived effectiveness and impact on ticket sales results. Sport Marketing Quarterly, 26(2), 99-109. https://doi.org/10.1177/106169341702600205</w:t>
      </w:r>
    </w:p>
    <w:p w14:paraId="13CF048D" w14:textId="77777777" w:rsidR="00834E21" w:rsidRDefault="00000000">
      <w:pPr>
        <w:spacing w:before="60" w:after="60" w:line="320" w:lineRule="auto"/>
        <w:ind w:left="720" w:hanging="720"/>
        <w:jc w:val="both"/>
      </w:pPr>
      <w:r>
        <w:rPr>
          <w:sz w:val="22"/>
          <w:szCs w:val="22"/>
        </w:rPr>
        <w:t xml:space="preserve">Taks, M., </w:t>
      </w:r>
      <w:proofErr w:type="spellStart"/>
      <w:r>
        <w:rPr>
          <w:sz w:val="22"/>
          <w:szCs w:val="22"/>
        </w:rPr>
        <w:t>Chalip</w:t>
      </w:r>
      <w:proofErr w:type="spellEnd"/>
      <w:r>
        <w:rPr>
          <w:sz w:val="22"/>
          <w:szCs w:val="22"/>
        </w:rPr>
        <w:t>, L., &amp; Green, B. C. (2015). Impacts and strategic outcomes from non-mega sport events for local communities. European Sport Management Quarterly, 15(1), 1-6. https://doi.org/10.1080/16184742.2014.995116</w:t>
      </w:r>
    </w:p>
    <w:p w14:paraId="07EE63E7" w14:textId="77777777" w:rsidR="00834E21" w:rsidRDefault="00000000">
      <w:r>
        <w:br w:type="page"/>
      </w:r>
    </w:p>
    <w:p w14:paraId="5F7B3DC1" w14:textId="77777777" w:rsidR="00834E21" w:rsidRDefault="00000000">
      <w:pPr>
        <w:pStyle w:val="Heading1"/>
        <w:spacing w:after="120"/>
      </w:pPr>
      <w:r>
        <w:lastRenderedPageBreak/>
        <w:t>Chapter 3: The Role of Reflection, Mentorship, and Professional Identity</w:t>
      </w:r>
    </w:p>
    <w:p w14:paraId="15FCEEBB" w14:textId="77777777" w:rsidR="00834E21" w:rsidRDefault="00000000">
      <w:pPr>
        <w:pStyle w:val="Heading2"/>
        <w:spacing w:after="120"/>
      </w:pPr>
      <w:r>
        <w:t>3.1 Reflective Journaling and Learning Portfolios</w:t>
      </w:r>
    </w:p>
    <w:p w14:paraId="235F38B4" w14:textId="77777777" w:rsidR="00834E21" w:rsidRDefault="00000000">
      <w:pPr>
        <w:spacing w:after="160" w:line="360" w:lineRule="auto"/>
        <w:ind w:firstLine="720"/>
        <w:jc w:val="both"/>
      </w:pPr>
      <w:r>
        <w:t>Reflection is the cornerstone of transformative learning. Without intentional, structured mechanisms for processing experience, students may complete applied learning placements without developing the analytical depth that distinguishes genuine professional growth from mere task completion. Reflective journaling and learning portfolios represent the two most widely used instruments for facilitating and documenting reflection in sport management programs, and each serves distinct but complementary functions in the experiential learning process.</w:t>
      </w:r>
    </w:p>
    <w:p w14:paraId="170F10C8" w14:textId="77777777" w:rsidR="00834E21" w:rsidRDefault="00000000">
      <w:pPr>
        <w:spacing w:after="160" w:line="360" w:lineRule="auto"/>
        <w:ind w:firstLine="720"/>
        <w:jc w:val="both"/>
      </w:pPr>
      <w:r>
        <w:t xml:space="preserve">Reflective journaling is the practice of regularly recording observations, reactions, questions, and insights arising from professional experiences. Effective reflection journals are not diaries in the personal sense but structured analytical documents that explicitly connect experience to theory, identify learning that occurred, and formulate questions for future investigation. Baker et al. (2012) demonstrated in the agricultural education context that structured reflection grounded in Kolb's ELT requires students to address the recurring questions of what happened, what it means, and what implications follow for future action. Sport management programs that train students to use this protocol consistently produce </w:t>
      </w:r>
      <w:proofErr w:type="spellStart"/>
      <w:r>
        <w:t>journalers</w:t>
      </w:r>
      <w:proofErr w:type="spellEnd"/>
      <w:r>
        <w:t xml:space="preserve"> who extract more generalizable insight from their experiences than those who reflect without a guiding framework.</w:t>
      </w:r>
    </w:p>
    <w:p w14:paraId="380395C2" w14:textId="6D5ED4B3" w:rsidR="00834E21" w:rsidRDefault="00000000">
      <w:pPr>
        <w:spacing w:after="160" w:line="360" w:lineRule="auto"/>
        <w:ind w:firstLine="720"/>
        <w:jc w:val="both"/>
      </w:pPr>
      <w:r>
        <w:t xml:space="preserve">Learning portfolios serve a different but equally important function. Where journals support ongoing reflective practice, portfolios curate the evidence of learning over time, providing both the student and the program with a comprehensive record of competency development. Effective portfolios include artifacts such as event programs, correspondence samples, performance evaluations, project plans, and reflective essays that collectively demonstrate growth across multiple competency domains. Graduate-level portfolios typically include a capstone reflective narrative in which students synthesize their learning </w:t>
      </w:r>
      <w:r w:rsidR="005E4E01">
        <w:t>throughout their program, making explicit connections among their experiential learning, academic coursework, and professional</w:t>
      </w:r>
      <w:r>
        <w:t xml:space="preserve"> identity development.</w:t>
      </w:r>
    </w:p>
    <w:p w14:paraId="4F87F772" w14:textId="77777777" w:rsidR="005E4E01" w:rsidRDefault="005E4E01">
      <w:pPr>
        <w:spacing w:after="160" w:line="360" w:lineRule="auto"/>
        <w:ind w:firstLine="720"/>
        <w:jc w:val="both"/>
      </w:pPr>
    </w:p>
    <w:p w14:paraId="7C9509CA" w14:textId="77777777" w:rsidR="00834E21" w:rsidRDefault="00000000">
      <w:pPr>
        <w:pStyle w:val="Heading2"/>
        <w:spacing w:after="120"/>
      </w:pPr>
      <w:r>
        <w:lastRenderedPageBreak/>
        <w:t>3.2 Mentorship Development Strategies</w:t>
      </w:r>
    </w:p>
    <w:p w14:paraId="7CA5942C" w14:textId="77777777" w:rsidR="00834E21" w:rsidRDefault="00000000">
      <w:pPr>
        <w:spacing w:after="160" w:line="360" w:lineRule="auto"/>
        <w:ind w:firstLine="720"/>
        <w:jc w:val="both"/>
      </w:pPr>
      <w:r>
        <w:t>Mentorship is among the most powerful and well-documented mechanisms of professional development available to sport management students and early-career professionals. A mentor is broadly understood as a more experienced professional who provides guidance, support, feedback, and advocacy to a less experienced protege. The mentoring relationship facilitates both career-related functions, including sponsorship, exposure, coaching, protection, and challenging assignments, and psychosocial functions, including role modeling, acceptance, counseling, and friendship. Both categories of function have been documented as important contributors to career advancement in the sport industry.</w:t>
      </w:r>
    </w:p>
    <w:p w14:paraId="77325DAF" w14:textId="77777777" w:rsidR="00834E21" w:rsidRDefault="00000000">
      <w:pPr>
        <w:spacing w:after="160" w:line="360" w:lineRule="auto"/>
        <w:ind w:firstLine="720"/>
        <w:jc w:val="both"/>
      </w:pPr>
      <w:r>
        <w:t>Bower (2017) synthesized the findings of 15 qualitative studies on mentoring women within sport and identified 10 themes related to effective mentoring relationships, concluding that mentors may buffer the female manager from overt and covert discrimination and help their female protege circumvent structural, social, and cultural barriers to advancement. While this research specifically addressed women's mentoring experiences, many of the identified dynamics are broadly applicable across populations, underscoring the relational and developmental functions of mentorship as central to professional advancement in sport at all levels.</w:t>
      </w:r>
    </w:p>
    <w:p w14:paraId="6240EC99" w14:textId="77777777" w:rsidR="00834E21" w:rsidRDefault="00000000">
      <w:pPr>
        <w:spacing w:after="160" w:line="360" w:lineRule="auto"/>
        <w:ind w:firstLine="720"/>
        <w:jc w:val="both"/>
      </w:pPr>
      <w:proofErr w:type="spellStart"/>
      <w:r>
        <w:t>Mujika</w:t>
      </w:r>
      <w:proofErr w:type="spellEnd"/>
      <w:r>
        <w:t xml:space="preserve"> and Leo (2024) drew a useful distinction between mentorship, which involves providing advice and insights based on the mentor's own experience, and sponsorship, which involves leveraging influence, networks, and position to actively promote a trainee's career advancement. In the sport industry context, sponsors who are willing to advocate publicly on behalf of a developing professional, make introductions to key decision-makers, and create opportunities for visibility can materially accelerate career progression in ways that supportive but passive mentors cannot. Graduate students who understand this distinction are better positioned to intentionally cultivate both mentoring and sponsoring relationships throughout their applied learning experiences.</w:t>
      </w:r>
    </w:p>
    <w:p w14:paraId="47AC6F5C" w14:textId="77777777" w:rsidR="00834E21" w:rsidRDefault="00000000">
      <w:pPr>
        <w:pStyle w:val="Heading2"/>
        <w:spacing w:after="120"/>
      </w:pPr>
      <w:r>
        <w:t>3.3 Building Confidence in Professional Settings</w:t>
      </w:r>
    </w:p>
    <w:p w14:paraId="3D38EF38" w14:textId="512DAFD1" w:rsidR="00834E21" w:rsidRDefault="00000000">
      <w:pPr>
        <w:spacing w:after="160" w:line="360" w:lineRule="auto"/>
        <w:ind w:firstLine="720"/>
        <w:jc w:val="both"/>
      </w:pPr>
      <w:r>
        <w:t xml:space="preserve">Professional self-efficacy, the belief in one's capacity to perform successfully in professional contexts, is a critical determinant of career persistence, initiative-taking, and willingness to pursue challenging opportunities. Graduate students entering applied learning </w:t>
      </w:r>
      <w:r>
        <w:lastRenderedPageBreak/>
        <w:t xml:space="preserve">settings frequently experience an initial gap between their academic competence and their confidence in professional contexts. Understanding the sources of this gap and developing strategies to close it </w:t>
      </w:r>
      <w:r w:rsidR="005E4E01">
        <w:t>are</w:t>
      </w:r>
      <w:r>
        <w:t xml:space="preserve"> important dimension</w:t>
      </w:r>
      <w:r w:rsidR="005E4E01">
        <w:t>s</w:t>
      </w:r>
      <w:r>
        <w:t xml:space="preserve"> of professional identity development.</w:t>
      </w:r>
    </w:p>
    <w:p w14:paraId="4C3E062B" w14:textId="77777777" w:rsidR="00834E21" w:rsidRDefault="00000000">
      <w:pPr>
        <w:spacing w:after="160" w:line="360" w:lineRule="auto"/>
        <w:ind w:firstLine="720"/>
        <w:jc w:val="both"/>
      </w:pPr>
      <w:r>
        <w:t>Self-efficacy is built primarily through mastery experiences, as students successfully complete progressively more complex professional tasks and receive affirming feedback from supervisors and mentors. Abdul Shukor and Mohamad Nor (2024) found that participation in experiential learning activities significantly improved students' confidence in selling, and that this improved confidence was associated with their increased interest in pursuing careers in the field. While this research specifically examined sales confidence, the mechanism, building confidence through guided, supported experience, generalizes across professional domains. Graduate programs that sequence experiential learning opportunities from less to more complex, with scaffolded support at each stage, produce students who develop professional confidence more efficiently than those who are placed in high-stakes environments without adequate preparation.</w:t>
      </w:r>
    </w:p>
    <w:p w14:paraId="027F7CC3" w14:textId="77777777" w:rsidR="00834E21" w:rsidRDefault="00000000">
      <w:pPr>
        <w:spacing w:after="160" w:line="360" w:lineRule="auto"/>
        <w:ind w:firstLine="720"/>
        <w:jc w:val="both"/>
      </w:pPr>
      <w:r>
        <w:t>Olsen and LaGree (2023) found that professional relationships were key for effective organizational acclimation among early-career women, noting that these relationships helped young women cultivate a strong career foundation and positioned them for leadership opportunities. More broadly, their research demonstrated that role modeling and access to a network of professional contacts early in one's career opens doors to professional advancement opportunities. For sport management graduate students, the implication is clear: intentional cultivation of professional relationships during applied learning experiences is not merely a networking strategy but a confidence-building mechanism that contributes to professional identity development.</w:t>
      </w:r>
    </w:p>
    <w:p w14:paraId="6FE1EFD9" w14:textId="77777777" w:rsidR="00834E21" w:rsidRDefault="00000000">
      <w:pPr>
        <w:pStyle w:val="Heading2"/>
        <w:spacing w:after="120"/>
      </w:pPr>
      <w:r>
        <w:t>3.4 Emotional Intelligence in Sport Organizations</w:t>
      </w:r>
    </w:p>
    <w:p w14:paraId="49BB3BB7" w14:textId="77777777" w:rsidR="00834E21" w:rsidRDefault="00000000">
      <w:pPr>
        <w:spacing w:after="160" w:line="360" w:lineRule="auto"/>
        <w:ind w:firstLine="720"/>
        <w:jc w:val="both"/>
      </w:pPr>
      <w:r>
        <w:t xml:space="preserve">Emotional intelligence (EI) refers to the capacity to recognize, understand, regulate, and effectively utilize emotional information in oneself and others. High EI is associated with better leadership performance, more effective interpersonal communication, greater resilience under pressure, and more constructive conflict resolution, all of which are competencies of significant value in the sport organizational context. Graduate students who develop their emotional intelligence during applied learning experiences are better prepared to navigate the interpersonal </w:t>
      </w:r>
      <w:r>
        <w:lastRenderedPageBreak/>
        <w:t>complexity of sport organizations, where high stakes, intense public scrutiny, and diverse stakeholder relationships create frequent emotional demands on professional staff.</w:t>
      </w:r>
    </w:p>
    <w:p w14:paraId="2EEEAAD5" w14:textId="77777777" w:rsidR="00834E21" w:rsidRDefault="00000000">
      <w:pPr>
        <w:spacing w:after="160" w:line="360" w:lineRule="auto"/>
        <w:ind w:firstLine="720"/>
        <w:jc w:val="both"/>
      </w:pPr>
      <w:r>
        <w:t>The sport organizational context presents distinctive emotional demands that extend beyond those encountered in many other professional settings. Athletic departments, in particular, operate at the intersection of competition, identity, institutional prestige, and financial pressure, creating an environment in which emotional reactivity is both common and consequential. Barnhill et al. (2021) noted the critical importance of ethical and relational dimensions of leadership in sport organizations, emphasizing that effective leaders in these settings must be skilled at managing both task-focused and relationship-focused demands simultaneously.</w:t>
      </w:r>
    </w:p>
    <w:p w14:paraId="151C6E92" w14:textId="77777777" w:rsidR="00834E21" w:rsidRDefault="00000000">
      <w:pPr>
        <w:spacing w:after="160" w:line="360" w:lineRule="auto"/>
        <w:ind w:firstLine="720"/>
        <w:jc w:val="both"/>
      </w:pPr>
      <w:r>
        <w:t>Graduate students can develop emotional intelligence through several mechanisms during applied learning experiences. Regular reflective journaling about interpersonal interactions and emotional responses builds self-awareness. Seeking feedback from supervisors and mentors about interpersonal style builds self-regulation. Observing and analyzing how experienced professionals navigate conflict and manage difficult stakeholder relationships builds social awareness. And developing skills in negotiation, mediation, and collaborative problem-solving builds relationship management. Programs that explicitly frame these as EI development goals within experiential learning courses, rather than allowing them to emerge incidentally, produce graduates with more developed and reliable interpersonal competencies.</w:t>
      </w:r>
    </w:p>
    <w:p w14:paraId="7ECA8B8F"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5F748CFB"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3B58F9D1"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The Mentor Who Changed Everything</w:t>
            </w:r>
          </w:p>
        </w:tc>
      </w:tr>
      <w:tr w:rsidR="00834E21" w14:paraId="70B647A0"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15517305" w14:textId="77777777" w:rsidR="00834E21" w:rsidRDefault="00000000">
            <w:pPr>
              <w:spacing w:line="320" w:lineRule="auto"/>
              <w:jc w:val="both"/>
            </w:pPr>
            <w:r>
              <w:rPr>
                <w:color w:val="1A1A1A"/>
                <w:sz w:val="22"/>
                <w:szCs w:val="22"/>
              </w:rPr>
              <w:t>When a senior associate athletic director was asked what single factor most accelerated her career development, she did not cite her graduate coursework, her internship experience, or her research skills. She cited a mentor who told her early in her career that the most valuable professional asset she possessed was her reputation for following through on commitments, no matter how small. Every email I answered promptly, every task I completed ahead of deadline, every meeting I came to prepared, those were deposits into a professional reputation account that I have been drawing from ever since, she said. Bower (2017) documented that effective mentors in sport do not only provide career guidance; they actively model the professional standards and ethical commitments that shape how a developing professional understands what it means to do the work well. Find mentors who embody the professional you want to become, and then pay close attention to how they behave when things are hard.</w:t>
            </w:r>
          </w:p>
        </w:tc>
      </w:tr>
    </w:tbl>
    <w:p w14:paraId="1BE6C9E7" w14:textId="77777777" w:rsidR="00834E21" w:rsidRDefault="00834E21">
      <w:pPr>
        <w:spacing w:before="200"/>
      </w:pPr>
    </w:p>
    <w:p w14:paraId="7FDC514C" w14:textId="77777777" w:rsidR="00834E21" w:rsidRDefault="00000000">
      <w:pPr>
        <w:pStyle w:val="Heading2"/>
        <w:spacing w:after="120"/>
      </w:pPr>
      <w:r>
        <w:lastRenderedPageBreak/>
        <w:t>3.5 Professional Communication Skills</w:t>
      </w:r>
    </w:p>
    <w:p w14:paraId="4227BB28" w14:textId="77777777" w:rsidR="00834E21" w:rsidRDefault="00000000">
      <w:pPr>
        <w:spacing w:after="160" w:line="360" w:lineRule="auto"/>
        <w:ind w:firstLine="720"/>
        <w:jc w:val="both"/>
      </w:pPr>
      <w:r>
        <w:t>Professional communication is a foundational competency for sport management careers, encompassing written communication, oral presentation, active listening, negotiation, media relations, and digital communication across multiple platforms. Graduate students who develop strong professional communication skills during applied learning experiences gain a significant competitive advantage in the job market, as communication quality is consistently identified by sport industry employers as a primary differentiator among candidates.</w:t>
      </w:r>
    </w:p>
    <w:p w14:paraId="0943D29D" w14:textId="77777777" w:rsidR="00834E21" w:rsidRDefault="00000000">
      <w:pPr>
        <w:spacing w:after="160" w:line="360" w:lineRule="auto"/>
        <w:ind w:firstLine="720"/>
        <w:jc w:val="both"/>
      </w:pPr>
      <w:r>
        <w:t>Written communication in sport management contexts spans a wide range of formats including press releases, sponsorship proposals, donor correspondence, grant applications, internal reports, event run-of-show documents, and email correspondence. Each format carries specific conventions, audience expectations, and strategic purposes that must be understood and respected. Graduate students who are given genuine writing responsibilities during applied learning placements, with substantive feedback from professional supervisors, develop writing competencies far more rapidly than those who produce only academic documents within the classroom setting.</w:t>
      </w:r>
    </w:p>
    <w:p w14:paraId="09F385CA" w14:textId="77777777" w:rsidR="00834E21" w:rsidRDefault="00000000">
      <w:pPr>
        <w:spacing w:after="160" w:line="360" w:lineRule="auto"/>
        <w:ind w:firstLine="720"/>
        <w:jc w:val="both"/>
      </w:pPr>
      <w:r>
        <w:t>Oral communication in sport management includes public speaking, media interviews, sales presentations, donor meetings, team briefings, and informal networking conversations. Olsen and LaGree (2023) found that professional relationships were critical to career development, and that the ability to communicate effectively in a variety of interpersonal contexts was essential to building and maintaining those relationships. Graduate programs that provide structured opportunities for students to practice oral communication in low-stakes simulated settings, such as mock sales calls, stakeholder presentations, and networking exercises, build the communicative confidence that enables students to perform well in high-stakes applied settings.</w:t>
      </w:r>
    </w:p>
    <w:p w14:paraId="5E604510" w14:textId="77777777" w:rsidR="00834E21" w:rsidRDefault="00000000">
      <w:pPr>
        <w:spacing w:after="160" w:line="360" w:lineRule="auto"/>
        <w:ind w:firstLine="720"/>
        <w:jc w:val="both"/>
      </w:pPr>
      <w:r>
        <w:t xml:space="preserve">The concept of professional identity development has attracted increasing scholarly attention as researchers have recognized that the transition from student to practitioner involves more than skill acquisition. It involves a fundamental reorganization of how one understands oneself and one's relationship to professional community. Odio and Menaker (2023) argued that sport management internship programs have historically underemphasized this developmental dimension, focusing almost exclusively on career preparation while neglecting the more fundamental work of helping students develop a critical, reflective professional identity. Graduate </w:t>
      </w:r>
      <w:r>
        <w:lastRenderedPageBreak/>
        <w:t>students who approach their applied learning with explicit attention to identity development, asking not only what am I learning to do but who am I becoming as a professional, are engaging in exactly the kind of transformational learning that the most effective experiential programs aim to facilitate.</w:t>
      </w:r>
    </w:p>
    <w:p w14:paraId="2E4656DF" w14:textId="77777777" w:rsidR="00834E21" w:rsidRDefault="00000000">
      <w:pPr>
        <w:spacing w:after="160" w:line="360" w:lineRule="auto"/>
        <w:ind w:firstLine="720"/>
        <w:jc w:val="both"/>
      </w:pPr>
      <w:r>
        <w:t>Bower (2017) identified in her meta-ethnographic synthesis that the most effective mentoring relationships in sport were characterized by emotional safety, genuine mutual investment, explicit career advocacy, and willingness to address structural barriers rather than simply encouraging individual resilience. This research has direct implications for how graduate students should evaluate and cultivate their mentoring relationships. Seeking mentors who model the courage to name and address structural inequities, not only those who can provide access and encouragement, will produce more robust professional development than mentoring relationships that operate solely within existing institutional structures.</w:t>
      </w:r>
    </w:p>
    <w:p w14:paraId="5B7F7D9B" w14:textId="77777777" w:rsidR="00834E21" w:rsidRDefault="00000000">
      <w:pPr>
        <w:pStyle w:val="Heading2"/>
        <w:spacing w:after="120"/>
      </w:pPr>
      <w:r>
        <w:t>3.6 Developing a Leadership Philosophy</w:t>
      </w:r>
    </w:p>
    <w:p w14:paraId="45027FEC" w14:textId="77777777" w:rsidR="00834E21" w:rsidRDefault="00000000">
      <w:pPr>
        <w:spacing w:after="160" w:line="360" w:lineRule="auto"/>
        <w:ind w:firstLine="720"/>
        <w:jc w:val="both"/>
      </w:pPr>
      <w:r>
        <w:t>A leadership philosophy is a coherent articulation of one's core values, beliefs about organizational purpose, and commitments to how one will behave as a leader in professional contexts. Developing a leadership philosophy is not an exercise in abstract idealism but a practical tool for guiding decision-making, maintaining ethical alignment under pressure, and communicating credibly with colleagues, subordinates, and stakeholders about one's approach to leadership. Graduate students who develop and regularly revise their leadership philosophy during their academic preparation are better equipped to lead with consistency and intentionality from the earliest stages of their careers.</w:t>
      </w:r>
    </w:p>
    <w:p w14:paraId="0BF247B2" w14:textId="77777777" w:rsidR="00834E21" w:rsidRDefault="00000000">
      <w:pPr>
        <w:spacing w:after="160" w:line="360" w:lineRule="auto"/>
        <w:ind w:firstLine="720"/>
        <w:jc w:val="both"/>
      </w:pPr>
      <w:r>
        <w:t>The sport management literature offers several theoretical frameworks that can inform a personal leadership philosophy. Transformational leadership, which emphasizes inspiring followers through vision, intellectual stimulation, and individualized consideration, is widely studied in sport contexts and has been associated with positive outcomes for follower motivation, satisfaction, and performance. Servant leadership, which places follower development and community wellbeing at the center of the leader's role, has been examined specifically in sport organizations by multiple researchers. Vinson and Parker (2020) found that servant leadership behaviors in sport coaching contexts were positively associated with athlete satisfaction and ethical climate perceptions.</w:t>
      </w:r>
    </w:p>
    <w:p w14:paraId="68B52BAA" w14:textId="77777777" w:rsidR="00834E21" w:rsidRDefault="00000000">
      <w:pPr>
        <w:spacing w:after="160" w:line="360" w:lineRule="auto"/>
        <w:ind w:firstLine="720"/>
        <w:jc w:val="both"/>
      </w:pPr>
      <w:r>
        <w:lastRenderedPageBreak/>
        <w:t xml:space="preserve">Kapyla and </w:t>
      </w:r>
      <w:proofErr w:type="spellStart"/>
      <w:r>
        <w:t>Palvalin</w:t>
      </w:r>
      <w:proofErr w:type="spellEnd"/>
      <w:r>
        <w:t xml:space="preserve"> (2023) argued that effective leadership development through experiential learning requires that the educator adopt different roles, shifting from facilitator to subject expert, to standard setter and evaluator, to coach, as learners move around the learning cycle. This multi-role model is equally applicable to sport management mentors and supervisors who support graduate students in developing their leadership identity. The most effective mentoring relationships provide not only technical guidance but model diverse aspects of leadership practice that students can observe, analyze, and selectively incorporate into their developing professional philosophy.</w:t>
      </w:r>
    </w:p>
    <w:p w14:paraId="0958F4D9" w14:textId="77777777" w:rsidR="00834E21" w:rsidRDefault="00000000">
      <w:pPr>
        <w:pStyle w:val="Heading2"/>
        <w:spacing w:after="120"/>
      </w:pPr>
      <w:r>
        <w:t>3.7 Ethical Decision-Making in Experiential Settings</w:t>
      </w:r>
    </w:p>
    <w:p w14:paraId="34B5E560" w14:textId="77777777" w:rsidR="00834E21" w:rsidRDefault="00000000">
      <w:pPr>
        <w:spacing w:after="160" w:line="360" w:lineRule="auto"/>
        <w:ind w:firstLine="720"/>
        <w:jc w:val="both"/>
      </w:pPr>
      <w:r>
        <w:t>Sport management professionals routinely encounter ethical challenges that require principled judgment under conditions of organizational pressure, ambiguity, and competing stakeholder interests. These challenges include decisions about the allocation of scarce resources, the management of athlete welfare in competitive environments, the handling of compliance obligations, the navigation of conflicts of interest in sponsorship and donor relations, and the treatment of labor in an industry where passion for sport is frequently exploited to justify below-market compensation. Graduate students who engage with ethical frameworks during their academic preparation and encounter real ethical challenges in applied settings are better prepared to maintain their integrity throughout their careers.</w:t>
      </w:r>
    </w:p>
    <w:p w14:paraId="412D64B9" w14:textId="77777777" w:rsidR="00834E21" w:rsidRDefault="00000000">
      <w:pPr>
        <w:spacing w:after="160" w:line="360" w:lineRule="auto"/>
        <w:ind w:firstLine="720"/>
        <w:jc w:val="both"/>
      </w:pPr>
      <w:proofErr w:type="spellStart"/>
      <w:r>
        <w:t>Hawzen</w:t>
      </w:r>
      <w:proofErr w:type="spellEnd"/>
      <w:r>
        <w:t xml:space="preserve"> et al. (2018) documented a troubling dimension of the internship experience in sport management, namely that the passion fans bring to work in sports creates conditions that can be exploited by organizations, leading to an acceptance of demanding working conditions and inadequate compensation that would not be tolerated in other industries. Graduate students and programs alike benefit from engaging honestly with this critique, developing frameworks for recognizing and responding ethically to conditions that compromise student welfare. Odio and Menaker (2023) similarly argued for a more critical and transformational focus for sport management internships and the broader sport management curriculum.</w:t>
      </w:r>
    </w:p>
    <w:p w14:paraId="057DE6AD" w14:textId="77777777" w:rsidR="00834E21" w:rsidRDefault="00000000">
      <w:pPr>
        <w:spacing w:after="160" w:line="360" w:lineRule="auto"/>
        <w:ind w:firstLine="720"/>
        <w:jc w:val="both"/>
      </w:pPr>
      <w:r>
        <w:t xml:space="preserve">Ethical decision-making frameworks that are useful in sport management contexts include stakeholder analysis, in which decision-makers systematically identify all parties affected by a decision and consider their interests; principled reasoning, in which decisions are evaluated against articulated core values; and consequentialist analysis, in which the likely outcomes of different </w:t>
      </w:r>
      <w:r>
        <w:lastRenderedPageBreak/>
        <w:t>decision pathways are compared. Graduate students who practice applying these frameworks to real ethical challenges encountered during applied learning experiences develop the practical ethical reasoning skills that academic instruction alone cannot fully provide.</w:t>
      </w:r>
    </w:p>
    <w:p w14:paraId="0FD6BFD8" w14:textId="77777777" w:rsidR="00834E21" w:rsidRDefault="00000000">
      <w:pPr>
        <w:pStyle w:val="Heading2"/>
        <w:spacing w:after="120"/>
      </w:pPr>
      <w:r>
        <w:t>Discussion Questions</w:t>
      </w:r>
    </w:p>
    <w:p w14:paraId="3C8A8DD2" w14:textId="77777777" w:rsidR="00834E21" w:rsidRDefault="00000000">
      <w:pPr>
        <w:spacing w:before="100" w:after="60" w:line="320" w:lineRule="auto"/>
        <w:ind w:left="720" w:hanging="360"/>
        <w:jc w:val="both"/>
      </w:pPr>
      <w:r>
        <w:rPr>
          <w:b/>
          <w:bCs/>
          <w:sz w:val="22"/>
          <w:szCs w:val="22"/>
        </w:rPr>
        <w:t xml:space="preserve">1. </w:t>
      </w:r>
      <w:r>
        <w:rPr>
          <w:sz w:val="22"/>
          <w:szCs w:val="22"/>
        </w:rPr>
        <w:t>Bower (2017) found that male mentors can help female proteges advance in sport organizations by introducing them to the "right" people and buffering them from biased decisions. What are the ethical obligations of established professionals, regardless of gender, to actively mentor and sponsor less-experienced colleagues who face structural disadvantages?</w:t>
      </w:r>
    </w:p>
    <w:p w14:paraId="2A6F8EA7" w14:textId="77777777" w:rsidR="00834E21" w:rsidRDefault="00000000">
      <w:pPr>
        <w:spacing w:before="100" w:after="60" w:line="320" w:lineRule="auto"/>
        <w:ind w:left="720" w:hanging="360"/>
        <w:jc w:val="both"/>
      </w:pPr>
      <w:r>
        <w:rPr>
          <w:b/>
          <w:bCs/>
          <w:sz w:val="22"/>
          <w:szCs w:val="22"/>
        </w:rPr>
        <w:t xml:space="preserve">2. </w:t>
      </w:r>
      <w:proofErr w:type="spellStart"/>
      <w:r>
        <w:rPr>
          <w:sz w:val="22"/>
          <w:szCs w:val="22"/>
        </w:rPr>
        <w:t>Mujika</w:t>
      </w:r>
      <w:proofErr w:type="spellEnd"/>
      <w:r>
        <w:rPr>
          <w:sz w:val="22"/>
          <w:szCs w:val="22"/>
        </w:rPr>
        <w:t xml:space="preserve"> and Leo (2024) distinguished between mentorship and sponsorship. In your own professional network, can you identify individuals who have served or could serve in each of these roles? What strategies would you use to cultivate sponsoring relationships specifically?</w:t>
      </w:r>
    </w:p>
    <w:p w14:paraId="14C05C96" w14:textId="77777777" w:rsidR="00834E21" w:rsidRDefault="00000000">
      <w:pPr>
        <w:spacing w:before="100" w:after="60" w:line="320" w:lineRule="auto"/>
        <w:ind w:left="720" w:hanging="360"/>
        <w:jc w:val="both"/>
      </w:pPr>
      <w:r>
        <w:rPr>
          <w:b/>
          <w:bCs/>
          <w:sz w:val="22"/>
          <w:szCs w:val="22"/>
        </w:rPr>
        <w:t xml:space="preserve">3. </w:t>
      </w:r>
      <w:proofErr w:type="spellStart"/>
      <w:r>
        <w:rPr>
          <w:sz w:val="22"/>
          <w:szCs w:val="22"/>
        </w:rPr>
        <w:t>Hawzen</w:t>
      </w:r>
      <w:proofErr w:type="spellEnd"/>
      <w:r>
        <w:rPr>
          <w:sz w:val="22"/>
          <w:szCs w:val="22"/>
        </w:rPr>
        <w:t xml:space="preserve"> et al. (2018) argued that sport management students' fan attachments create conditions for labor exploitation in internship settings. Do you think this is a structural problem inherent in the sport industry or a problem addressable through individual awareness and advocacy? What evidence supports your position?</w:t>
      </w:r>
    </w:p>
    <w:p w14:paraId="32AC97A5" w14:textId="77777777" w:rsidR="00834E21" w:rsidRDefault="00000000">
      <w:pPr>
        <w:spacing w:before="100" w:after="60" w:line="320" w:lineRule="auto"/>
        <w:ind w:left="720" w:hanging="360"/>
        <w:jc w:val="both"/>
      </w:pPr>
      <w:r>
        <w:rPr>
          <w:b/>
          <w:bCs/>
          <w:sz w:val="22"/>
          <w:szCs w:val="22"/>
        </w:rPr>
        <w:t xml:space="preserve">4. </w:t>
      </w:r>
      <w:r>
        <w:rPr>
          <w:sz w:val="22"/>
          <w:szCs w:val="22"/>
        </w:rPr>
        <w:t>Vinson and Parker (2020) found that servant leadership behaviors in sport coaching were positively associated with athlete satisfaction and ethical climate. How would you translate the principles of servant leadership into a specific functional role in sport management that you aspire to hold?</w:t>
      </w:r>
    </w:p>
    <w:p w14:paraId="20ECD903" w14:textId="77777777" w:rsidR="005E4E01" w:rsidRDefault="00000000" w:rsidP="005E4E01">
      <w:pPr>
        <w:spacing w:before="100" w:after="60" w:line="320" w:lineRule="auto"/>
        <w:ind w:left="720" w:hanging="360"/>
        <w:jc w:val="both"/>
        <w:rPr>
          <w:sz w:val="22"/>
          <w:szCs w:val="22"/>
        </w:rPr>
      </w:pPr>
      <w:r>
        <w:rPr>
          <w:b/>
          <w:bCs/>
          <w:sz w:val="22"/>
          <w:szCs w:val="22"/>
        </w:rPr>
        <w:t xml:space="preserve">5. </w:t>
      </w:r>
      <w:r>
        <w:rPr>
          <w:sz w:val="22"/>
          <w:szCs w:val="22"/>
        </w:rPr>
        <w:t xml:space="preserve">Kapyla and </w:t>
      </w:r>
      <w:proofErr w:type="spellStart"/>
      <w:r>
        <w:rPr>
          <w:sz w:val="22"/>
          <w:szCs w:val="22"/>
        </w:rPr>
        <w:t>Palvalin</w:t>
      </w:r>
      <w:proofErr w:type="spellEnd"/>
      <w:r>
        <w:rPr>
          <w:sz w:val="22"/>
          <w:szCs w:val="22"/>
        </w:rPr>
        <w:t xml:space="preserve"> (2023) argued that leadership can best be learned by practicing. Identify a leadership opportunity available to you in your current academic or professional context and articulate a specific plan for using that opportunity to develop one or two specific leadership competencies.</w:t>
      </w:r>
    </w:p>
    <w:p w14:paraId="4D004728" w14:textId="51D2D972" w:rsidR="00834E21" w:rsidRDefault="00000000" w:rsidP="005E4E01">
      <w:pPr>
        <w:spacing w:before="100" w:after="60" w:line="320" w:lineRule="auto"/>
        <w:jc w:val="both"/>
      </w:pPr>
      <w:r>
        <w:rPr>
          <w:b/>
          <w:bCs/>
        </w:rPr>
        <w:t>Reflection Practices</w:t>
      </w:r>
    </w:p>
    <w:p w14:paraId="1EB6B5BB" w14:textId="77777777" w:rsidR="00834E21" w:rsidRDefault="00834E2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7"/>
        <w:gridCol w:w="7743"/>
      </w:tblGrid>
      <w:tr w:rsidR="00834E21" w14:paraId="77D6635B" w14:textId="77777777" w:rsidTr="005E4E01">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5FDB0008" w14:textId="77777777" w:rsidR="00834E21" w:rsidRDefault="00000000">
            <w:pPr>
              <w:jc w:val="center"/>
            </w:pPr>
            <w:r>
              <w:rPr>
                <w:rFonts w:ascii="Arial" w:eastAsia="Arial" w:hAnsi="Arial" w:cs="Arial"/>
                <w:b/>
                <w:bCs/>
                <w:color w:val="2E4057"/>
                <w:sz w:val="28"/>
                <w:szCs w:val="28"/>
              </w:rPr>
              <w:t>1</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6F9D125D" w14:textId="77777777" w:rsidR="00834E21" w:rsidRDefault="00000000">
            <w:pPr>
              <w:spacing w:line="300" w:lineRule="auto"/>
              <w:jc w:val="both"/>
            </w:pPr>
            <w:r>
              <w:rPr>
                <w:b/>
                <w:bCs/>
                <w:color w:val="2E4057"/>
                <w:sz w:val="22"/>
                <w:szCs w:val="22"/>
              </w:rPr>
              <w:t xml:space="preserve">Leadership Philosophy Statement: Draft a 600- to 800-word leadership philosophy statement that articulates your core values, your beliefs about the purpose of organizational leadership, your commitments to those you lead, and the leadership models or mentors who have most shaped </w:t>
            </w:r>
            <w:proofErr w:type="gramStart"/>
            <w:r>
              <w:rPr>
                <w:b/>
                <w:bCs/>
                <w:color w:val="2E4057"/>
                <w:sz w:val="22"/>
                <w:szCs w:val="22"/>
              </w:rPr>
              <w:t>your</w:t>
            </w:r>
            <w:proofErr w:type="gramEnd"/>
            <w:r>
              <w:rPr>
                <w:b/>
                <w:bCs/>
                <w:color w:val="2E4057"/>
                <w:sz w:val="22"/>
                <w:szCs w:val="22"/>
              </w:rPr>
              <w:t xml:space="preserve"> thinking. </w:t>
            </w:r>
            <w:r>
              <w:rPr>
                <w:color w:val="1A1A1A"/>
                <w:sz w:val="22"/>
                <w:szCs w:val="22"/>
              </w:rPr>
              <w:t>This document should be treated as a living text that you revise regularly throughout your career.</w:t>
            </w:r>
          </w:p>
        </w:tc>
      </w:tr>
      <w:tr w:rsidR="00834E21" w14:paraId="2E74F225" w14:textId="77777777" w:rsidTr="005E4E01">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76AE97B6" w14:textId="77777777" w:rsidR="00834E21" w:rsidRDefault="00000000">
            <w:pPr>
              <w:jc w:val="center"/>
            </w:pPr>
            <w:r>
              <w:rPr>
                <w:rFonts w:ascii="Arial" w:eastAsia="Arial" w:hAnsi="Arial" w:cs="Arial"/>
                <w:b/>
                <w:bCs/>
                <w:color w:val="2E4057"/>
                <w:sz w:val="28"/>
                <w:szCs w:val="28"/>
              </w:rPr>
              <w:t>2</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22FF127C" w14:textId="77777777" w:rsidR="00834E21" w:rsidRDefault="00000000">
            <w:pPr>
              <w:spacing w:line="300" w:lineRule="auto"/>
              <w:jc w:val="both"/>
            </w:pPr>
            <w:r>
              <w:rPr>
                <w:b/>
                <w:bCs/>
                <w:color w:val="2E4057"/>
                <w:sz w:val="22"/>
                <w:szCs w:val="22"/>
              </w:rPr>
              <w:t xml:space="preserve">Mentor Identification and Interview: Identify two professionals in the sport industry whom you would like to cultivate as mentors or sponsors. </w:t>
            </w:r>
            <w:r>
              <w:rPr>
                <w:color w:val="1A1A1A"/>
                <w:sz w:val="22"/>
                <w:szCs w:val="22"/>
              </w:rPr>
              <w:t xml:space="preserve">Write a structured plan for initiating these relationships, including how you will make </w:t>
            </w:r>
            <w:r>
              <w:rPr>
                <w:color w:val="1A1A1A"/>
                <w:sz w:val="22"/>
                <w:szCs w:val="22"/>
              </w:rPr>
              <w:lastRenderedPageBreak/>
              <w:t>contact, what you will offer, and what specific guidance you will seek. Following the initial contact, write a reflection analyzing the interaction and your strategy for maintaining the relationship.</w:t>
            </w:r>
          </w:p>
        </w:tc>
      </w:tr>
      <w:tr w:rsidR="00834E21" w14:paraId="3F2C3DC9" w14:textId="77777777" w:rsidTr="005E4E01">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577A39C6" w14:textId="77777777" w:rsidR="00834E21" w:rsidRDefault="00000000">
            <w:pPr>
              <w:jc w:val="center"/>
            </w:pPr>
            <w:r>
              <w:rPr>
                <w:rFonts w:ascii="Arial" w:eastAsia="Arial" w:hAnsi="Arial" w:cs="Arial"/>
                <w:b/>
                <w:bCs/>
                <w:color w:val="2E4057"/>
                <w:sz w:val="28"/>
                <w:szCs w:val="28"/>
              </w:rPr>
              <w:lastRenderedPageBreak/>
              <w:t>3</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070753F3" w14:textId="77777777" w:rsidR="00834E21" w:rsidRDefault="00000000">
            <w:pPr>
              <w:spacing w:line="300" w:lineRule="auto"/>
              <w:jc w:val="both"/>
            </w:pPr>
            <w:r>
              <w:rPr>
                <w:b/>
                <w:bCs/>
                <w:color w:val="2E4057"/>
                <w:sz w:val="22"/>
                <w:szCs w:val="22"/>
              </w:rPr>
              <w:t xml:space="preserve">Ethical Challenge Analysis: Identify an ethical challenge you observed or participated in during an applied learning experience or that a sport management professional you know has described facing. </w:t>
            </w:r>
            <w:r>
              <w:rPr>
                <w:color w:val="1A1A1A"/>
                <w:sz w:val="22"/>
                <w:szCs w:val="22"/>
              </w:rPr>
              <w:t>Apply at least two ethical decision-making frameworks to the challenge, analyze the decision that was made, and articulate how you would have approached the situation.</w:t>
            </w:r>
          </w:p>
        </w:tc>
      </w:tr>
      <w:tr w:rsidR="00834E21" w14:paraId="2C1B3884" w14:textId="77777777" w:rsidTr="005E4E01">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1F4B1DD1" w14:textId="77777777" w:rsidR="00834E21" w:rsidRDefault="00000000">
            <w:pPr>
              <w:jc w:val="center"/>
            </w:pPr>
            <w:r>
              <w:rPr>
                <w:rFonts w:ascii="Arial" w:eastAsia="Arial" w:hAnsi="Arial" w:cs="Arial"/>
                <w:b/>
                <w:bCs/>
                <w:color w:val="2E4057"/>
                <w:sz w:val="28"/>
                <w:szCs w:val="28"/>
              </w:rPr>
              <w:t>4</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1FC38D94" w14:textId="77777777" w:rsidR="00834E21" w:rsidRDefault="00000000">
            <w:pPr>
              <w:spacing w:line="300" w:lineRule="auto"/>
              <w:jc w:val="both"/>
            </w:pPr>
            <w:r>
              <w:rPr>
                <w:b/>
                <w:bCs/>
                <w:color w:val="2E4057"/>
                <w:sz w:val="22"/>
                <w:szCs w:val="22"/>
              </w:rPr>
              <w:t xml:space="preserve">Emotional Intelligence Self-Assessment: Complete a validated emotional intelligence self-assessment instrument. </w:t>
            </w:r>
            <w:r>
              <w:rPr>
                <w:color w:val="1A1A1A"/>
                <w:sz w:val="22"/>
                <w:szCs w:val="22"/>
              </w:rPr>
              <w:t>Write a 500-word reflection analyzing your self-assessed strengths and developmental areas across the domains of self-awareness, self-regulation, social awareness, and relationship management. Identify one specific strategy for developing each area of relative weakness during your next applied learning experience.</w:t>
            </w:r>
          </w:p>
        </w:tc>
      </w:tr>
      <w:tr w:rsidR="00834E21" w14:paraId="1CBDC0BB" w14:textId="77777777" w:rsidTr="005E4E01">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2B53D9F3" w14:textId="77777777" w:rsidR="00834E21" w:rsidRDefault="00000000">
            <w:pPr>
              <w:jc w:val="center"/>
            </w:pPr>
            <w:r>
              <w:rPr>
                <w:rFonts w:ascii="Arial" w:eastAsia="Arial" w:hAnsi="Arial" w:cs="Arial"/>
                <w:b/>
                <w:bCs/>
                <w:color w:val="2E4057"/>
                <w:sz w:val="28"/>
                <w:szCs w:val="28"/>
              </w:rPr>
              <w:t>5</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4ADD0962" w14:textId="77777777" w:rsidR="00834E21" w:rsidRDefault="00000000">
            <w:pPr>
              <w:spacing w:line="300" w:lineRule="auto"/>
              <w:jc w:val="both"/>
            </w:pPr>
            <w:r>
              <w:rPr>
                <w:b/>
                <w:bCs/>
                <w:color w:val="2E4057"/>
                <w:sz w:val="22"/>
                <w:szCs w:val="22"/>
              </w:rPr>
              <w:t xml:space="preserve">Reflective Writing Practice: For three consecutive weeks, maintain a structured reflection journal using the "What? So What? Now What?" framework. </w:t>
            </w:r>
            <w:r>
              <w:rPr>
                <w:color w:val="1A1A1A"/>
                <w:sz w:val="22"/>
                <w:szCs w:val="22"/>
              </w:rPr>
              <w:t xml:space="preserve">At the end of the three weeks, write a meta-reflection analyzing how the practice of structured journaling influenced your awareness, </w:t>
            </w:r>
            <w:proofErr w:type="spellStart"/>
            <w:r>
              <w:rPr>
                <w:color w:val="1A1A1A"/>
                <w:sz w:val="22"/>
                <w:szCs w:val="22"/>
              </w:rPr>
              <w:t>your</w:t>
            </w:r>
            <w:proofErr w:type="spellEnd"/>
            <w:r>
              <w:rPr>
                <w:color w:val="1A1A1A"/>
                <w:sz w:val="22"/>
                <w:szCs w:val="22"/>
              </w:rPr>
              <w:t xml:space="preserve"> learning, and your professional behavior.</w:t>
            </w:r>
          </w:p>
        </w:tc>
      </w:tr>
    </w:tbl>
    <w:p w14:paraId="46C036B3" w14:textId="77777777" w:rsidR="00834E21" w:rsidRDefault="00000000">
      <w:pPr>
        <w:pStyle w:val="Heading2"/>
        <w:spacing w:after="120"/>
      </w:pPr>
      <w:r>
        <w:t>References</w:t>
      </w:r>
    </w:p>
    <w:p w14:paraId="56FF5B80" w14:textId="77777777" w:rsidR="00834E21" w:rsidRDefault="00000000">
      <w:pPr>
        <w:spacing w:before="60" w:after="60" w:line="320" w:lineRule="auto"/>
        <w:ind w:left="720" w:hanging="720"/>
        <w:jc w:val="both"/>
      </w:pPr>
      <w:r>
        <w:rPr>
          <w:sz w:val="22"/>
          <w:szCs w:val="22"/>
        </w:rPr>
        <w:t>Abdul Shukor, S., &amp; Mohamad Nor, N. S. (2024). The impact of experiential learning on student perceptions of a career in sales. EPIBAF Proceedings, 11(1), 205-209. https://doi.org/10.33102/sprepg18</w:t>
      </w:r>
    </w:p>
    <w:p w14:paraId="1D661B9D" w14:textId="77777777" w:rsidR="00834E21" w:rsidRDefault="00000000">
      <w:pPr>
        <w:spacing w:before="60" w:after="60" w:line="320" w:lineRule="auto"/>
        <w:ind w:left="720" w:hanging="720"/>
        <w:jc w:val="both"/>
      </w:pPr>
      <w:r>
        <w:rPr>
          <w:sz w:val="22"/>
          <w:szCs w:val="22"/>
        </w:rPr>
        <w:t>Baker, M. A., &amp; Robinson, S. (2012). Aligning Kolb's experiential learning theory with a comprehensive agricultural education model. Journal of Agricultural Education, 53(4), 1-16. https://doi.org/10.5032/jae.2012.04001</w:t>
      </w:r>
    </w:p>
    <w:p w14:paraId="713E0EE7" w14:textId="77777777" w:rsidR="00834E21" w:rsidRDefault="00000000">
      <w:pPr>
        <w:spacing w:before="60" w:after="60" w:line="320" w:lineRule="auto"/>
        <w:ind w:left="720" w:hanging="720"/>
        <w:jc w:val="both"/>
      </w:pPr>
      <w:r>
        <w:rPr>
          <w:sz w:val="22"/>
          <w:szCs w:val="22"/>
        </w:rPr>
        <w:t>Barnhill, C. R., Smith, N., &amp; Oja, B. D. (2021). Leadership in sport organizations. In C. R. Barnhill et al. (Eds.), Applied sport management skills (pp. 201-220). Springer. https://doi.org/10.1007/978-3-030-67612-4_18</w:t>
      </w:r>
    </w:p>
    <w:p w14:paraId="74CEAEF3" w14:textId="77777777" w:rsidR="00834E21" w:rsidRDefault="00000000">
      <w:pPr>
        <w:spacing w:before="60" w:after="60" w:line="320" w:lineRule="auto"/>
        <w:ind w:left="720" w:hanging="720"/>
        <w:jc w:val="both"/>
      </w:pPr>
      <w:r>
        <w:rPr>
          <w:sz w:val="22"/>
          <w:szCs w:val="22"/>
        </w:rPr>
        <w:t>Bower, G. G. (2017). Effective mentoring relationships with women in sport: Results of a meta-ethnography. Advancing Women in Leadership Journal, 29. https://doi.org/10.21423/awlj-v29.a268</w:t>
      </w:r>
    </w:p>
    <w:p w14:paraId="381A83DC" w14:textId="77777777" w:rsidR="00834E21" w:rsidRDefault="00000000">
      <w:pPr>
        <w:spacing w:before="60" w:after="60" w:line="320" w:lineRule="auto"/>
        <w:ind w:left="720" w:hanging="720"/>
        <w:jc w:val="both"/>
      </w:pPr>
      <w:proofErr w:type="spellStart"/>
      <w:r>
        <w:rPr>
          <w:sz w:val="22"/>
          <w:szCs w:val="22"/>
        </w:rPr>
        <w:t>Hawzen</w:t>
      </w:r>
      <w:proofErr w:type="spellEnd"/>
      <w:r>
        <w:rPr>
          <w:sz w:val="22"/>
          <w:szCs w:val="22"/>
        </w:rPr>
        <w:t>, M. G., McLeod, C. M., &amp; Holden, J. T. (2018). Cruel optimism in sport management: Fans, affective labor, and the political economy of internships in the sport industry. Journal of Sport and Social Issues, 42(3), 184-204. https://doi.org/10.1177/0193723518758457</w:t>
      </w:r>
    </w:p>
    <w:p w14:paraId="6C4151D5" w14:textId="77777777" w:rsidR="00834E21" w:rsidRDefault="00000000">
      <w:pPr>
        <w:spacing w:before="60" w:after="60" w:line="320" w:lineRule="auto"/>
        <w:ind w:left="720" w:hanging="720"/>
        <w:jc w:val="both"/>
      </w:pPr>
      <w:r>
        <w:rPr>
          <w:sz w:val="22"/>
          <w:szCs w:val="22"/>
        </w:rPr>
        <w:lastRenderedPageBreak/>
        <w:t xml:space="preserve">Kapyla, J., &amp; </w:t>
      </w:r>
      <w:proofErr w:type="spellStart"/>
      <w:r>
        <w:rPr>
          <w:sz w:val="22"/>
          <w:szCs w:val="22"/>
        </w:rPr>
        <w:t>Palvalin</w:t>
      </w:r>
      <w:proofErr w:type="spellEnd"/>
      <w:r>
        <w:rPr>
          <w:sz w:val="22"/>
          <w:szCs w:val="22"/>
        </w:rPr>
        <w:t xml:space="preserve">, M. (2023). Experiential pedagogical model for teaching management and leadership in higher education. </w:t>
      </w:r>
      <w:proofErr w:type="spellStart"/>
      <w:r>
        <w:rPr>
          <w:sz w:val="22"/>
          <w:szCs w:val="22"/>
        </w:rPr>
        <w:t>InScience</w:t>
      </w:r>
      <w:proofErr w:type="spellEnd"/>
      <w:r>
        <w:rPr>
          <w:sz w:val="22"/>
          <w:szCs w:val="22"/>
        </w:rPr>
        <w:t xml:space="preserve"> Press. https://doi.org/10.36315/2023v2end128</w:t>
      </w:r>
    </w:p>
    <w:p w14:paraId="20ED3A16" w14:textId="77777777" w:rsidR="00834E21" w:rsidRDefault="00000000">
      <w:pPr>
        <w:spacing w:before="60" w:after="60" w:line="320" w:lineRule="auto"/>
        <w:ind w:left="720" w:hanging="720"/>
        <w:jc w:val="both"/>
      </w:pPr>
      <w:r>
        <w:rPr>
          <w:sz w:val="22"/>
          <w:szCs w:val="22"/>
        </w:rPr>
        <w:t>Mujika, I., &amp; Leo, P. (2024). From mentorship to sponsorship in sport science. International Journal of Sports Physiology and Performance, 19(3), 221-222. https://doi.org/10.1123/ijspp.2023-0516</w:t>
      </w:r>
    </w:p>
    <w:p w14:paraId="47DA3270" w14:textId="77777777" w:rsidR="00834E21" w:rsidRDefault="00000000">
      <w:pPr>
        <w:spacing w:before="60" w:after="60" w:line="320" w:lineRule="auto"/>
        <w:ind w:left="720" w:hanging="720"/>
        <w:jc w:val="both"/>
      </w:pPr>
      <w:r>
        <w:rPr>
          <w:sz w:val="22"/>
          <w:szCs w:val="22"/>
        </w:rPr>
        <w:t>Odio, M. A., &amp; Menaker, B. E. (2023). Rethinking the sport management internship. Sports Innovation Journal, 4(SI), 152-162. https://doi.org/10.18060/27358</w:t>
      </w:r>
    </w:p>
    <w:p w14:paraId="18CDC15D" w14:textId="77777777" w:rsidR="00834E21" w:rsidRDefault="00000000">
      <w:pPr>
        <w:spacing w:before="60" w:after="60" w:line="320" w:lineRule="auto"/>
        <w:ind w:left="720" w:hanging="720"/>
        <w:jc w:val="both"/>
      </w:pPr>
      <w:r>
        <w:rPr>
          <w:sz w:val="22"/>
          <w:szCs w:val="22"/>
        </w:rPr>
        <w:t>Olsen, K., &amp; LaGree, D. (2023). Taking action in the first five years to increase career equality: The impact of professional relationships on young women's advancement. Gender in Management, 38(7), 925-941. https://doi.org/10.1108/gm-02-2022-0058</w:t>
      </w:r>
    </w:p>
    <w:p w14:paraId="287FDBFC" w14:textId="77777777" w:rsidR="00834E21" w:rsidRDefault="00000000">
      <w:pPr>
        <w:spacing w:before="60" w:after="60" w:line="320" w:lineRule="auto"/>
        <w:ind w:left="720" w:hanging="720"/>
        <w:jc w:val="both"/>
      </w:pPr>
      <w:r>
        <w:rPr>
          <w:sz w:val="22"/>
          <w:szCs w:val="22"/>
        </w:rPr>
        <w:t>Vinson, D., &amp; Parker, A. (2020). Christian sports coaches and servant leadership. International Journal of Sports Science and Coaching, 16(2), 304-316. https://doi.org/10.1177/1747954120951768</w:t>
      </w:r>
    </w:p>
    <w:p w14:paraId="4C272C29" w14:textId="77777777" w:rsidR="00834E21" w:rsidRDefault="00000000">
      <w:r>
        <w:br w:type="page"/>
      </w:r>
    </w:p>
    <w:p w14:paraId="15D60407" w14:textId="77777777" w:rsidR="00834E21" w:rsidRDefault="00000000">
      <w:pPr>
        <w:pStyle w:val="Heading1"/>
        <w:spacing w:after="120"/>
      </w:pPr>
      <w:r>
        <w:lastRenderedPageBreak/>
        <w:t>Chapter 4: Collegiate Athletics and University-Based Experiences</w:t>
      </w:r>
    </w:p>
    <w:p w14:paraId="4E653FEF" w14:textId="77777777" w:rsidR="00834E21" w:rsidRDefault="00000000">
      <w:pPr>
        <w:pStyle w:val="Heading2"/>
        <w:spacing w:after="120"/>
      </w:pPr>
      <w:r>
        <w:t>4.1 NCAA Athletic Department Structures</w:t>
      </w:r>
    </w:p>
    <w:p w14:paraId="1D5280EE" w14:textId="77777777" w:rsidR="00834E21" w:rsidRDefault="00000000">
      <w:pPr>
        <w:spacing w:after="160" w:line="360" w:lineRule="auto"/>
        <w:ind w:firstLine="720"/>
        <w:jc w:val="both"/>
      </w:pPr>
      <w:r>
        <w:t>The National Collegiate Athletic Association (NCAA) serves as the primary governance body for intercollegiate athletics in the United States, overseeing more than 1,100 member institutions across three competitive divisions and more than 450,000 student-athletes annually. Within each member institution, the athletic department functions as a complex organizational unit responsible for the competitive, academic, financial, and reputational dimensions of a university's athletic program. For sport management graduate students, understanding the organizational structure of athletic departments is essential to identifying the range of professional roles available, the reporting relationships that define organizational culture, and the functional competencies most valued in each area.</w:t>
      </w:r>
    </w:p>
    <w:p w14:paraId="0128DA6B" w14:textId="62A95FC0" w:rsidR="00834E21" w:rsidRDefault="00000000">
      <w:pPr>
        <w:spacing w:after="160" w:line="360" w:lineRule="auto"/>
        <w:ind w:firstLine="720"/>
        <w:jc w:val="both"/>
      </w:pPr>
      <w:r>
        <w:t xml:space="preserve">Athletic departments at the NCAA Division I level are typically organized around two primary operational clusters: internal operations and external operations. Internal operations encompass student-athlete services, academic support, compliance, sports medicine, strength and conditioning, equipment management, and team operations. External operations encompass marketing and fan experience, ticketing and revenue generation, development and fundraising, corporate partnerships, media relations, and community engagement. Graduate assistantships can be found across both clusters, though positions in external operations </w:t>
      </w:r>
      <w:r w:rsidR="005E4E01">
        <w:t>with direct revenue implications often offer greater professional development value and career exposure for students pursuing careers in the sport industry.</w:t>
      </w:r>
    </w:p>
    <w:p w14:paraId="174FF7F1" w14:textId="196BA55B" w:rsidR="00834E21" w:rsidRDefault="00000000">
      <w:pPr>
        <w:spacing w:after="160" w:line="360" w:lineRule="auto"/>
        <w:ind w:firstLine="720"/>
        <w:jc w:val="both"/>
      </w:pPr>
      <w:r>
        <w:t xml:space="preserve">The Athletic Director (AD) </w:t>
      </w:r>
      <w:r w:rsidR="005E4E01">
        <w:t xml:space="preserve">position </w:t>
      </w:r>
      <w:r>
        <w:t xml:space="preserve">sits at the apex of the athletic department hierarchy and </w:t>
      </w:r>
      <w:r w:rsidR="005E4E01">
        <w:t>i</w:t>
      </w:r>
      <w:r>
        <w:t>s responsib</w:t>
      </w:r>
      <w:r w:rsidR="005E4E01">
        <w:t>le</w:t>
      </w:r>
      <w:r>
        <w:t xml:space="preserve"> for strategic direction, budget management, staff leadership, donor relations, and institutional representation. Supporting the AD are typically one or more Deputy, Associate, and Assistant Athletic Directors with functional portfolios. Graduate students who develop relationships with professionals at multiple levels of this hierarchy gain a more complete understanding of organizational decision-making, resource allocation, and strategic prioritization than those who interact only with immediate supervisors.</w:t>
      </w:r>
    </w:p>
    <w:p w14:paraId="50E2F93C" w14:textId="77777777" w:rsidR="005E4E01" w:rsidRDefault="005E4E01">
      <w:pPr>
        <w:spacing w:after="160" w:line="360" w:lineRule="auto"/>
        <w:ind w:firstLine="720"/>
        <w:jc w:val="both"/>
      </w:pPr>
    </w:p>
    <w:p w14:paraId="71E78D73" w14:textId="77777777" w:rsidR="00834E21" w:rsidRDefault="00000000">
      <w:pPr>
        <w:spacing w:before="200" w:after="60"/>
      </w:pPr>
      <w:r>
        <w:rPr>
          <w:rFonts w:ascii="Arial" w:eastAsia="Arial" w:hAnsi="Arial" w:cs="Arial"/>
          <w:b/>
          <w:bCs/>
          <w:color w:val="2E4057"/>
          <w:sz w:val="22"/>
          <w:szCs w:val="22"/>
        </w:rPr>
        <w:lastRenderedPageBreak/>
        <w:t>Table 4.1</w:t>
      </w:r>
    </w:p>
    <w:p w14:paraId="5B2A6342" w14:textId="77777777" w:rsidR="00834E21" w:rsidRDefault="00000000">
      <w:pPr>
        <w:spacing w:after="80"/>
      </w:pPr>
      <w:r>
        <w:rPr>
          <w:rFonts w:ascii="Arial" w:eastAsia="Arial" w:hAnsi="Arial" w:cs="Arial"/>
          <w:i/>
          <w:iCs/>
          <w:color w:val="444444"/>
          <w:sz w:val="20"/>
          <w:szCs w:val="20"/>
        </w:rPr>
        <w:t>Key Functional Areas in NCAA Division I Athletic Departments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760"/>
        <w:gridCol w:w="3600"/>
      </w:tblGrid>
      <w:tr w:rsidR="00834E21" w14:paraId="66B1ADBF" w14:textId="77777777">
        <w:tblPrEx>
          <w:tblCellMar>
            <w:top w:w="0" w:type="dxa"/>
            <w:bottom w:w="0" w:type="dxa"/>
          </w:tblCellMar>
        </w:tblPrEx>
        <w:trPr>
          <w:tblHeader/>
        </w:trPr>
        <w:tc>
          <w:tcPr>
            <w:tcW w:w="200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042EC168" w14:textId="77777777" w:rsidR="00834E21" w:rsidRDefault="00000000">
            <w:pPr>
              <w:jc w:val="center"/>
            </w:pPr>
            <w:r>
              <w:rPr>
                <w:b/>
                <w:bCs/>
                <w:color w:val="FFFFFF"/>
                <w:sz w:val="22"/>
                <w:szCs w:val="22"/>
              </w:rPr>
              <w:t>Functional Area</w:t>
            </w:r>
          </w:p>
        </w:tc>
        <w:tc>
          <w:tcPr>
            <w:tcW w:w="376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10BE71E0" w14:textId="77777777" w:rsidR="00834E21" w:rsidRDefault="00000000">
            <w:pPr>
              <w:jc w:val="center"/>
            </w:pPr>
            <w:r>
              <w:rPr>
                <w:b/>
                <w:bCs/>
                <w:color w:val="FFFFFF"/>
                <w:sz w:val="22"/>
                <w:szCs w:val="22"/>
              </w:rPr>
              <w:t>Key Responsibilities</w:t>
            </w:r>
          </w:p>
        </w:tc>
        <w:tc>
          <w:tcPr>
            <w:tcW w:w="360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75234F9A" w14:textId="77777777" w:rsidR="00834E21" w:rsidRDefault="00000000">
            <w:pPr>
              <w:jc w:val="center"/>
            </w:pPr>
            <w:r>
              <w:rPr>
                <w:b/>
                <w:bCs/>
                <w:color w:val="FFFFFF"/>
                <w:sz w:val="22"/>
                <w:szCs w:val="22"/>
              </w:rPr>
              <w:t>Common Entry Roles for Graduates</w:t>
            </w:r>
          </w:p>
        </w:tc>
      </w:tr>
      <w:tr w:rsidR="00834E21" w14:paraId="3F5AFCA2" w14:textId="77777777">
        <w:tblPrEx>
          <w:tblCellMar>
            <w:top w:w="0" w:type="dxa"/>
            <w:bottom w:w="0" w:type="dxa"/>
          </w:tblCellMar>
        </w:tblPrEx>
        <w:tc>
          <w:tcPr>
            <w:tcW w:w="20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49635A51" w14:textId="77777777" w:rsidR="00834E21" w:rsidRDefault="00000000">
            <w:r>
              <w:rPr>
                <w:color w:val="1A1A1A"/>
                <w:sz w:val="22"/>
                <w:szCs w:val="22"/>
              </w:rPr>
              <w:t>External Operations</w:t>
            </w:r>
          </w:p>
        </w:tc>
        <w:tc>
          <w:tcPr>
            <w:tcW w:w="37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038CBEC7" w14:textId="77777777" w:rsidR="00834E21" w:rsidRDefault="00000000">
            <w:r>
              <w:rPr>
                <w:color w:val="1A1A1A"/>
                <w:sz w:val="22"/>
                <w:szCs w:val="22"/>
              </w:rPr>
              <w:t>Marketing, ticketing, fan experience, digital content, community relations</w:t>
            </w:r>
          </w:p>
        </w:tc>
        <w:tc>
          <w:tcPr>
            <w:tcW w:w="36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497F9A9B" w14:textId="77777777" w:rsidR="00834E21" w:rsidRDefault="00000000">
            <w:r>
              <w:rPr>
                <w:color w:val="1A1A1A"/>
                <w:sz w:val="22"/>
                <w:szCs w:val="22"/>
              </w:rPr>
              <w:t>Marketing coordinator, ticket sales rep, digital content specialist</w:t>
            </w:r>
          </w:p>
        </w:tc>
      </w:tr>
      <w:tr w:rsidR="00834E21" w14:paraId="1712C5DD" w14:textId="77777777">
        <w:tblPrEx>
          <w:tblCellMar>
            <w:top w:w="0" w:type="dxa"/>
            <w:bottom w:w="0" w:type="dxa"/>
          </w:tblCellMar>
        </w:tblPrEx>
        <w:tc>
          <w:tcPr>
            <w:tcW w:w="20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209AA1E7" w14:textId="77777777" w:rsidR="00834E21" w:rsidRDefault="00000000">
            <w:r>
              <w:rPr>
                <w:color w:val="1A1A1A"/>
                <w:sz w:val="22"/>
                <w:szCs w:val="22"/>
              </w:rPr>
              <w:t>Development &amp; Fundraising</w:t>
            </w:r>
          </w:p>
        </w:tc>
        <w:tc>
          <w:tcPr>
            <w:tcW w:w="37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6741E698" w14:textId="77777777" w:rsidR="00834E21" w:rsidRDefault="00000000">
            <w:r>
              <w:rPr>
                <w:color w:val="1A1A1A"/>
                <w:sz w:val="22"/>
                <w:szCs w:val="22"/>
              </w:rPr>
              <w:t>Major gifts, annual fund, donor cultivation, capital campaigns</w:t>
            </w:r>
          </w:p>
        </w:tc>
        <w:tc>
          <w:tcPr>
            <w:tcW w:w="36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66384097" w14:textId="77777777" w:rsidR="00834E21" w:rsidRDefault="00000000">
            <w:r>
              <w:rPr>
                <w:color w:val="1A1A1A"/>
                <w:sz w:val="22"/>
                <w:szCs w:val="22"/>
              </w:rPr>
              <w:t>Development assistant, annual fund coordinator</w:t>
            </w:r>
          </w:p>
        </w:tc>
      </w:tr>
      <w:tr w:rsidR="00834E21" w14:paraId="3A99B200" w14:textId="77777777">
        <w:tblPrEx>
          <w:tblCellMar>
            <w:top w:w="0" w:type="dxa"/>
            <w:bottom w:w="0" w:type="dxa"/>
          </w:tblCellMar>
        </w:tblPrEx>
        <w:tc>
          <w:tcPr>
            <w:tcW w:w="20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463D5D11" w14:textId="77777777" w:rsidR="00834E21" w:rsidRDefault="00000000">
            <w:r>
              <w:rPr>
                <w:color w:val="1A1A1A"/>
                <w:sz w:val="22"/>
                <w:szCs w:val="22"/>
              </w:rPr>
              <w:t>Athletic Communications</w:t>
            </w:r>
          </w:p>
        </w:tc>
        <w:tc>
          <w:tcPr>
            <w:tcW w:w="37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3B282E57" w14:textId="77777777" w:rsidR="00834E21" w:rsidRDefault="00000000">
            <w:r>
              <w:rPr>
                <w:color w:val="1A1A1A"/>
                <w:sz w:val="22"/>
                <w:szCs w:val="22"/>
              </w:rPr>
              <w:t>Media relations, social media, press releases, broadcast coordination</w:t>
            </w:r>
          </w:p>
        </w:tc>
        <w:tc>
          <w:tcPr>
            <w:tcW w:w="36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0F869F4B" w14:textId="77777777" w:rsidR="00834E21" w:rsidRDefault="00000000">
            <w:r>
              <w:rPr>
                <w:color w:val="1A1A1A"/>
                <w:sz w:val="22"/>
                <w:szCs w:val="22"/>
              </w:rPr>
              <w:t>Communications assistant, social media coordinator</w:t>
            </w:r>
          </w:p>
        </w:tc>
      </w:tr>
      <w:tr w:rsidR="00834E21" w14:paraId="624C1E3F" w14:textId="77777777">
        <w:tblPrEx>
          <w:tblCellMar>
            <w:top w:w="0" w:type="dxa"/>
            <w:bottom w:w="0" w:type="dxa"/>
          </w:tblCellMar>
        </w:tblPrEx>
        <w:tc>
          <w:tcPr>
            <w:tcW w:w="20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354E74DB" w14:textId="77777777" w:rsidR="00834E21" w:rsidRDefault="00000000">
            <w:r>
              <w:rPr>
                <w:color w:val="1A1A1A"/>
                <w:sz w:val="22"/>
                <w:szCs w:val="22"/>
              </w:rPr>
              <w:t>Compliance</w:t>
            </w:r>
          </w:p>
        </w:tc>
        <w:tc>
          <w:tcPr>
            <w:tcW w:w="37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1DE5BAA5" w14:textId="77777777" w:rsidR="00834E21" w:rsidRDefault="00000000">
            <w:r>
              <w:rPr>
                <w:color w:val="1A1A1A"/>
                <w:sz w:val="22"/>
                <w:szCs w:val="22"/>
              </w:rPr>
              <w:t>NCAA rule education, eligibility monitoring, violation investigation</w:t>
            </w:r>
          </w:p>
        </w:tc>
        <w:tc>
          <w:tcPr>
            <w:tcW w:w="36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1136118E" w14:textId="77777777" w:rsidR="00834E21" w:rsidRDefault="00000000">
            <w:r>
              <w:rPr>
                <w:color w:val="1A1A1A"/>
                <w:sz w:val="22"/>
                <w:szCs w:val="22"/>
              </w:rPr>
              <w:t>Compliance assistant, eligibility coordinator</w:t>
            </w:r>
          </w:p>
        </w:tc>
      </w:tr>
      <w:tr w:rsidR="00834E21" w14:paraId="2A513E6D" w14:textId="77777777">
        <w:tblPrEx>
          <w:tblCellMar>
            <w:top w:w="0" w:type="dxa"/>
            <w:bottom w:w="0" w:type="dxa"/>
          </w:tblCellMar>
        </w:tblPrEx>
        <w:tc>
          <w:tcPr>
            <w:tcW w:w="20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1D31306E" w14:textId="77777777" w:rsidR="00834E21" w:rsidRDefault="00000000">
            <w:r>
              <w:rPr>
                <w:color w:val="1A1A1A"/>
                <w:sz w:val="22"/>
                <w:szCs w:val="22"/>
              </w:rPr>
              <w:t>Student-Athlete Services</w:t>
            </w:r>
          </w:p>
        </w:tc>
        <w:tc>
          <w:tcPr>
            <w:tcW w:w="37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031BA1C3" w14:textId="77777777" w:rsidR="00834E21" w:rsidRDefault="00000000">
            <w:r>
              <w:rPr>
                <w:color w:val="1A1A1A"/>
                <w:sz w:val="22"/>
                <w:szCs w:val="22"/>
              </w:rPr>
              <w:t>Academic advising, career development, mental health resources</w:t>
            </w:r>
          </w:p>
        </w:tc>
        <w:tc>
          <w:tcPr>
            <w:tcW w:w="36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56197959" w14:textId="77777777" w:rsidR="00834E21" w:rsidRDefault="00000000">
            <w:r>
              <w:rPr>
                <w:color w:val="1A1A1A"/>
                <w:sz w:val="22"/>
                <w:szCs w:val="22"/>
              </w:rPr>
              <w:t>Academic advisor, life skills coordinator</w:t>
            </w:r>
          </w:p>
        </w:tc>
      </w:tr>
      <w:tr w:rsidR="00834E21" w14:paraId="5C480D38" w14:textId="77777777">
        <w:tblPrEx>
          <w:tblCellMar>
            <w:top w:w="0" w:type="dxa"/>
            <w:bottom w:w="0" w:type="dxa"/>
          </w:tblCellMar>
        </w:tblPrEx>
        <w:tc>
          <w:tcPr>
            <w:tcW w:w="20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09D4A614" w14:textId="77777777" w:rsidR="00834E21" w:rsidRDefault="00000000">
            <w:r>
              <w:rPr>
                <w:color w:val="1A1A1A"/>
                <w:sz w:val="22"/>
                <w:szCs w:val="22"/>
              </w:rPr>
              <w:t>Operations &amp; Facilities</w:t>
            </w:r>
          </w:p>
        </w:tc>
        <w:tc>
          <w:tcPr>
            <w:tcW w:w="37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3DF415DF" w14:textId="77777777" w:rsidR="00834E21" w:rsidRDefault="00000000">
            <w:r>
              <w:rPr>
                <w:color w:val="1A1A1A"/>
                <w:sz w:val="22"/>
                <w:szCs w:val="22"/>
              </w:rPr>
              <w:t>Team travel, equipment, scheduling, facility management</w:t>
            </w:r>
          </w:p>
        </w:tc>
        <w:tc>
          <w:tcPr>
            <w:tcW w:w="36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57F7E639" w14:textId="77777777" w:rsidR="00834E21" w:rsidRDefault="00000000">
            <w:r>
              <w:rPr>
                <w:color w:val="1A1A1A"/>
                <w:sz w:val="22"/>
                <w:szCs w:val="22"/>
              </w:rPr>
              <w:t>Operations assistant, event coordinator</w:t>
            </w:r>
          </w:p>
        </w:tc>
      </w:tr>
    </w:tbl>
    <w:p w14:paraId="5330087E" w14:textId="77777777" w:rsidR="00834E21" w:rsidRDefault="00000000">
      <w:pPr>
        <w:spacing w:before="80" w:after="200"/>
      </w:pPr>
      <w:r>
        <w:rPr>
          <w:i/>
          <w:iCs/>
          <w:color w:val="666666"/>
          <w:sz w:val="20"/>
          <w:szCs w:val="20"/>
        </w:rPr>
        <w:t>Note. Entry-level roles vary by institutional size and NCAA division. Graduate assistantships are available across all functional areas.</w:t>
      </w:r>
    </w:p>
    <w:p w14:paraId="74C299DE" w14:textId="77777777" w:rsidR="00834E21" w:rsidRDefault="00000000">
      <w:pPr>
        <w:pStyle w:val="Heading2"/>
        <w:spacing w:after="120"/>
      </w:pPr>
      <w:r>
        <w:t>4.2 Graduate Assistantships in Athletics</w:t>
      </w:r>
    </w:p>
    <w:p w14:paraId="6895E084" w14:textId="77777777" w:rsidR="00834E21" w:rsidRDefault="00000000">
      <w:pPr>
        <w:spacing w:after="160" w:line="360" w:lineRule="auto"/>
        <w:ind w:firstLine="720"/>
        <w:jc w:val="both"/>
      </w:pPr>
      <w:r>
        <w:t>Graduate assistantships represent the most structured and educationally purposeful form of applied learning available within the collegiate athletics context. These positions provide graduate students with a tuition waiver, a stipend, and sometimes health benefits in exchange for a specified number of hours per week of professional service in a specific functional area of the athletic department. From an educational standpoint, they offer sustained engagement with a professional mentor, exposure to organizational culture and strategic decision-making, and the opportunity to develop functional competencies through direct responsibility for meaningful work.</w:t>
      </w:r>
    </w:p>
    <w:p w14:paraId="58D3265B" w14:textId="77777777" w:rsidR="00834E21" w:rsidRDefault="00000000">
      <w:pPr>
        <w:spacing w:after="160" w:line="360" w:lineRule="auto"/>
        <w:ind w:firstLine="720"/>
        <w:jc w:val="both"/>
      </w:pPr>
      <w:r>
        <w:t xml:space="preserve">McFadden and Stenta (2015) documented that collegiate athletics environments have a significant impact on students who serve as employees and that these settings apply leadership frameworks in meaningful ways. Graduate assistants in athletic marketing, for example, may lead fan experience initiatives for home sporting events, coordinate with community partners for promotional campaigns, manage social media channels, and assist in sponsorship activation, all of which build competencies directly relevant to professional sport careers. Graduate assistants in </w:t>
      </w:r>
      <w:r>
        <w:lastRenderedPageBreak/>
        <w:t>development may manage a donor portfolio, assist in major gift solicitation, coordinate annual fund campaigns, and support the cultivation of major athletic donors.</w:t>
      </w:r>
    </w:p>
    <w:p w14:paraId="37735B4F" w14:textId="77777777" w:rsidR="00834E21" w:rsidRDefault="00000000">
      <w:pPr>
        <w:spacing w:after="160" w:line="360" w:lineRule="auto"/>
        <w:ind w:firstLine="720"/>
        <w:jc w:val="both"/>
      </w:pPr>
      <w:r>
        <w:t>Maximizing the educational value of a graduate assistantship requires intentionality from both the student and the supervising professional. Students should approach the assistantship with clearly articulated learning objectives, a commitment to seeking feedback, and a habit of connecting daily tasks to broader organizational strategy and academic frameworks. Supervisors who invest time in mentoring, explaining decision-making processes, and providing stretch assignments create conditions in which assistants develop far more rapidly than those managed primarily as inexpensive labor. Odio and Menaker (2023) cautioned that many design features of sport management internships and assistantships are at odds with student development and motivation, calling for a more holistic approach that explicitly prioritizes educational outcomes alongside operational contributions.</w:t>
      </w:r>
    </w:p>
    <w:p w14:paraId="5F82AEE7" w14:textId="77777777" w:rsidR="00834E21" w:rsidRDefault="00000000">
      <w:pPr>
        <w:pStyle w:val="Heading2"/>
        <w:spacing w:after="120"/>
      </w:pPr>
      <w:r>
        <w:t>4.3 Academic Support and Student-Athlete Development</w:t>
      </w:r>
    </w:p>
    <w:p w14:paraId="337CBF84" w14:textId="77777777" w:rsidR="00834E21" w:rsidRDefault="00000000">
      <w:pPr>
        <w:spacing w:after="160" w:line="360" w:lineRule="auto"/>
        <w:ind w:firstLine="720"/>
        <w:jc w:val="both"/>
      </w:pPr>
      <w:r>
        <w:t>Academic support for student-athletes is a specialized professional area within athletic administration that addresses the unique academic challenges, scheduling demands, and developmental needs of student-athletes. Professionals in this area provide tutoring coordination, study hall supervision, course advising, graduation planning, and connection to campus mental health and wellness resources. For graduate students interested in student-athlete development as a career pathway, applied learning in academic support offices provides direct engagement with the student-athlete population and exposure to the complex intersection of athletic, academic, and personal development that defines the student-athlete experience.</w:t>
      </w:r>
    </w:p>
    <w:p w14:paraId="53CBFE7F" w14:textId="77777777" w:rsidR="00834E21" w:rsidRDefault="00000000">
      <w:pPr>
        <w:spacing w:after="160" w:line="360" w:lineRule="auto"/>
        <w:ind w:firstLine="720"/>
        <w:jc w:val="both"/>
      </w:pPr>
      <w:proofErr w:type="spellStart"/>
      <w:r>
        <w:t>Charitonidi</w:t>
      </w:r>
      <w:proofErr w:type="spellEnd"/>
      <w:r>
        <w:t xml:space="preserve"> and </w:t>
      </w:r>
      <w:proofErr w:type="spellStart"/>
      <w:r>
        <w:t>Kaburakis</w:t>
      </w:r>
      <w:proofErr w:type="spellEnd"/>
      <w:r>
        <w:t xml:space="preserve"> (2022) examined the experience of international student-athletes at NCAA institutions and found that ISAs highlighted concerning issues such as discrimination, negligence, and a lack of support and guidance, and called for the NCAA to undertake further investigation to help stakeholders better meet the needs of their ISAs. This research is directly relevant to professionals working in student-athlete services, who must be equipped to support a diverse student-athlete population with varied cultural backgrounds, language competencies, and institutional familiarity. Graduate students who pursue applied learning in this area develop skills in cross-cultural communication, advocacy, and individualized support that are broadly transferable.</w:t>
      </w:r>
    </w:p>
    <w:p w14:paraId="53EF3C48" w14:textId="77777777" w:rsidR="00834E21" w:rsidRDefault="00000000">
      <w:pPr>
        <w:spacing w:after="160" w:line="360" w:lineRule="auto"/>
        <w:ind w:firstLine="720"/>
        <w:jc w:val="both"/>
      </w:pPr>
      <w:r>
        <w:lastRenderedPageBreak/>
        <w:t>The student-athlete development function has expanded significantly in recent years to encompass career development, leadership education, financial literacy, mental health programming, and community service coordination. These expanded responsibilities reflect a growing recognition that the athletic experience, when intentionally developed, produces holistic developmental outcomes that extend well beyond competitive performance. Graduate students who work in student-athlete development contribute to this mission while simultaneously developing their own organizational, communication, and program management competencies.</w:t>
      </w:r>
    </w:p>
    <w:p w14:paraId="1BE87073" w14:textId="77777777" w:rsidR="00834E21" w:rsidRDefault="00000000">
      <w:pPr>
        <w:pStyle w:val="Heading2"/>
        <w:spacing w:after="120"/>
      </w:pPr>
      <w:r>
        <w:t>4.4 Athletic Fundraising and Development</w:t>
      </w:r>
    </w:p>
    <w:p w14:paraId="3F2E9A88" w14:textId="77777777" w:rsidR="00834E21" w:rsidRDefault="00000000">
      <w:pPr>
        <w:spacing w:after="160" w:line="360" w:lineRule="auto"/>
        <w:ind w:firstLine="720"/>
        <w:jc w:val="both"/>
      </w:pPr>
      <w:r>
        <w:t xml:space="preserve">Athletic fundraising and development </w:t>
      </w:r>
      <w:proofErr w:type="gramStart"/>
      <w:r>
        <w:t>is</w:t>
      </w:r>
      <w:proofErr w:type="gramEnd"/>
      <w:r>
        <w:t xml:space="preserve"> one of the most financially consequential functional areas in collegiate athletics and one of the most competitive career pathways within athletic administration. Development professionals identify, cultivate, solicit, and steward donors who contribute to athletic department priorities including facility construction and renovation, endowed scholarship programs, program operating support, and capital campaigns. At major Division I institutions, the development office manages donor relationships representing tens of millions of dollars in annual philanthropic support.</w:t>
      </w:r>
    </w:p>
    <w:p w14:paraId="79EB3A6E" w14:textId="77777777" w:rsidR="00834E21" w:rsidRDefault="00000000">
      <w:pPr>
        <w:spacing w:after="160" w:line="360" w:lineRule="auto"/>
        <w:ind w:firstLine="720"/>
        <w:jc w:val="both"/>
      </w:pPr>
      <w:r>
        <w:t>The competencies required for success in athletic development include relationship management, oral and written communication, knowledge of tax and legal frameworks governing charitable giving, data management through constituent relationship management (CRM) systems, event planning, and the ability to articulate a compelling case for philanthropic support. Graduate students pursuing development careers benefit from applied learning experiences that provide direct exposure to donor cultivation and stewardship, including attendance at donor events, participation in solicitation meetings under the mentorship of experienced development officers, and responsibility for managing segments of the annual fund program.</w:t>
      </w:r>
    </w:p>
    <w:p w14:paraId="502D84CC" w14:textId="77777777" w:rsidR="00834E21" w:rsidRDefault="00000000">
      <w:pPr>
        <w:spacing w:after="160" w:line="360" w:lineRule="auto"/>
        <w:ind w:firstLine="720"/>
        <w:jc w:val="both"/>
      </w:pPr>
      <w:r>
        <w:t xml:space="preserve">The relationship between athletic success and development outcomes is a subject of ongoing scholarly and practical interest. Institutions with competitive programs in high-visibility sports typically enjoy higher levels of alumni engagement and philanthropic support, creating a virtuous cycle in which fundraising success supports program investment. Graduate students in development must be equipped to articulate the case for philanthropic support in terms that resonate with donors whose motivations span a spectrum from pride in athletic achievement to commitment to student-athlete welfare to institutional loyalty. Understanding this motivational </w:t>
      </w:r>
      <w:r>
        <w:lastRenderedPageBreak/>
        <w:t>diversity and tailoring communication accordingly is a core competency for development professionals at all career stages.</w:t>
      </w:r>
    </w:p>
    <w:p w14:paraId="7D4C6318"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067CA914"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76827984"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Inside the Athletic Department Ecosystem</w:t>
            </w:r>
          </w:p>
        </w:tc>
      </w:tr>
      <w:tr w:rsidR="00834E21" w14:paraId="7C8F9E73"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776F1BEF" w14:textId="77777777" w:rsidR="00834E21" w:rsidRDefault="00000000">
            <w:pPr>
              <w:spacing w:line="320" w:lineRule="auto"/>
              <w:jc w:val="both"/>
            </w:pPr>
            <w:r>
              <w:rPr>
                <w:color w:val="1A1A1A"/>
                <w:sz w:val="22"/>
                <w:szCs w:val="22"/>
              </w:rPr>
              <w:t>A compliance director at a mid-major NCAA Division I institution described the organizational culture of her department this way: Every person in this building is in service to the student-athlete experience. That includes the people in the development office raising money for scholarships, the folks in marketing selling tickets, and the operations staff making sure the buses leave on time. When we lose sight of that shared purpose, we start working in silos and the whole thing breaks down. Guidotti et al. (2023) found in their umbrella review of sport management competencies that communication, leadership, and stakeholder management were among the highest-priority competencies identified by industry professionals at all career stages. The ability to understand how your specific functional role serves the organization's broader mission is precisely this kind of high-value competency, and it cannot be fully developed in a classroom.</w:t>
            </w:r>
          </w:p>
        </w:tc>
      </w:tr>
    </w:tbl>
    <w:p w14:paraId="2CBEA0EF" w14:textId="77777777" w:rsidR="00834E21" w:rsidRDefault="00834E21">
      <w:pPr>
        <w:spacing w:before="200"/>
      </w:pPr>
    </w:p>
    <w:p w14:paraId="2830ADBE" w14:textId="77777777" w:rsidR="00834E21" w:rsidRDefault="00000000">
      <w:pPr>
        <w:pStyle w:val="Heading2"/>
        <w:spacing w:after="120"/>
      </w:pPr>
      <w:r>
        <w:t>4.5 External Operations and Fan Experience</w:t>
      </w:r>
    </w:p>
    <w:p w14:paraId="6E861F59" w14:textId="77777777" w:rsidR="00834E21" w:rsidRDefault="00000000">
      <w:pPr>
        <w:spacing w:after="160" w:line="360" w:lineRule="auto"/>
        <w:ind w:firstLine="720"/>
        <w:jc w:val="both"/>
      </w:pPr>
      <w:r>
        <w:t>The external operations function in collegiate athletics encompasses all activities directed at building, engaging, and monetizing the fan base for athletic programs. This includes game day operations, fan experience programming, social media management, community engagement initiatives, sports marketing campaigns, and the production of digital and broadcast content. Graduate students who develop competencies in external operations gain skills that are directly transferable to professional sport organizations, event management firms, and sport marketing agencies.</w:t>
      </w:r>
    </w:p>
    <w:p w14:paraId="2A6D848E" w14:textId="77777777" w:rsidR="00834E21" w:rsidRDefault="00000000">
      <w:pPr>
        <w:spacing w:after="160" w:line="360" w:lineRule="auto"/>
        <w:ind w:firstLine="720"/>
        <w:jc w:val="both"/>
      </w:pPr>
      <w:r>
        <w:t xml:space="preserve">Fan experience has become an increasingly important strategic priority for collegiate athletic departments as competition for entertainment dollars intensifies and as the in-person attendance experience must be differentiated from viewing at home. Graduate students working in fan experience roles may develop pregame entertainment programming, coordinate halftime performances, manage promotional giveaway programs, design contests and social media activations, and collect and analyze fan satisfaction data. Each of these responsibilities builds </w:t>
      </w:r>
      <w:r>
        <w:lastRenderedPageBreak/>
        <w:t>competencies in marketing, event management, data analysis, and creative development that have broad professional application.</w:t>
      </w:r>
    </w:p>
    <w:p w14:paraId="468312BA" w14:textId="77777777" w:rsidR="00834E21" w:rsidRDefault="00000000">
      <w:pPr>
        <w:spacing w:after="160" w:line="360" w:lineRule="auto"/>
        <w:ind w:firstLine="720"/>
        <w:jc w:val="both"/>
      </w:pPr>
      <w:r>
        <w:t>Perry et al. (2022) noted that the sport management field continues to evolve rapidly and that programs must regularly evaluate and modify their experiential learning components to match changes in the industry. This imperative applies directly to graduate students working in external operations, who should approach each applied experience as an opportunity not only to contribute to current organizational needs but to identify emerging trends, develop new approaches, and contribute to the evolution of their professional area. Students who bring academic frameworks from sport marketing, consumer behavior, and organizational theory to their applied settings generate more valuable insights than those who limit their frame of reference to current organizational practice.</w:t>
      </w:r>
    </w:p>
    <w:p w14:paraId="2D724CED" w14:textId="77777777" w:rsidR="00834E21" w:rsidRDefault="00000000">
      <w:pPr>
        <w:spacing w:after="160" w:line="360" w:lineRule="auto"/>
        <w:ind w:firstLine="720"/>
        <w:jc w:val="both"/>
      </w:pPr>
      <w:r>
        <w:t>The shift toward data-informed decision-making in collegiate athletic departments has created significant new demand for graduate students with competencies in analytics, consumer behavior research, and performance metric analysis. Athletic departments that once relied primarily on intuitive judgment to guide fan experience, marketing, and development decisions are increasingly investing in analytical infrastructure that requires professional staff who can both generate and interpret data. Graduate students who develop proficiency in tools such as Tableau, Salesforce analytics, or sport-specific CRM reporting during their applied learning experiences will find these competencies increasingly valued across multiple functional areas within collegiate athletic organizations.</w:t>
      </w:r>
    </w:p>
    <w:p w14:paraId="14FDF465" w14:textId="77777777" w:rsidR="00834E21" w:rsidRDefault="00000000">
      <w:pPr>
        <w:spacing w:after="160" w:line="360" w:lineRule="auto"/>
        <w:ind w:firstLine="720"/>
        <w:jc w:val="both"/>
      </w:pPr>
      <w:r>
        <w:t>The governance landscape in collegiate athletics has also grown considerably more complex in recent years, with ongoing legal challenges to the NCAA's regulatory authority and the implementation of revenue sharing between institutions and student-athletes creating unprecedented organizational uncertainty for athletic department professionals. Graduate students entering applied learning in this environment benefit from developing what scholars sometimes call organizational intelligence: the capacity to understand how external governance forces translate into internal organizational priorities, resource allocation decisions, and professional role definitions. Staying current on NCAA governance through primary sources equips graduate students to contribute informed analysis to organizational conversations rather than simply executing assigned tasks in isolation from the broader context that shapes them.</w:t>
      </w:r>
    </w:p>
    <w:p w14:paraId="6D95876D" w14:textId="77777777" w:rsidR="00834E21" w:rsidRDefault="00000000">
      <w:pPr>
        <w:pStyle w:val="Heading2"/>
        <w:spacing w:after="120"/>
      </w:pPr>
      <w:r>
        <w:lastRenderedPageBreak/>
        <w:t>4.6 Compliance and Operations</w:t>
      </w:r>
    </w:p>
    <w:p w14:paraId="1C795E68" w14:textId="77777777" w:rsidR="00834E21" w:rsidRDefault="00000000">
      <w:pPr>
        <w:spacing w:after="160" w:line="360" w:lineRule="auto"/>
        <w:ind w:firstLine="720"/>
        <w:jc w:val="both"/>
      </w:pPr>
      <w:r>
        <w:t>Athletic compliance is a specialized function concerned with ensuring that institutional athletic programs adhere to the rules and regulations of their governing association, primarily the NCAA, as well as applicable laws and institutional policies. Compliance professionals educate coaches, staff, student-athletes, and boosters about relevant regulations, monitor eligibility and recruitment activities, conduct investigations of potential violations, and manage relationships with the governing association. The compliance function is critical to institutional risk management and to the integrity of the educational mission of collegiate athletics.</w:t>
      </w:r>
    </w:p>
    <w:p w14:paraId="77276E5B" w14:textId="77777777" w:rsidR="00834E21" w:rsidRDefault="00000000">
      <w:pPr>
        <w:spacing w:after="160" w:line="360" w:lineRule="auto"/>
        <w:ind w:firstLine="720"/>
        <w:jc w:val="both"/>
      </w:pPr>
      <w:r>
        <w:t>Graduate students interested in compliance careers develop competencies in regulatory interpretation, risk assessment, policy communication, investigative procedure, and relationship management. Applied learning in compliance offices provides exposure to the complexity of NCAA bylaws, the practical challenges of monitoring institutional adherence, and the interpersonal dynamics of communicating regulatory requirements to coaches and administrators who may experience compliance as a constraint on their competitive activities. Understanding these dynamics requires both technical knowledge of applicable regulations and the interpersonal skill to communicate them credibly and collaboratively.</w:t>
      </w:r>
    </w:p>
    <w:p w14:paraId="3EC18A33" w14:textId="77777777" w:rsidR="00834E21" w:rsidRDefault="00000000">
      <w:pPr>
        <w:spacing w:after="160" w:line="360" w:lineRule="auto"/>
        <w:ind w:firstLine="720"/>
        <w:jc w:val="both"/>
      </w:pPr>
      <w:r>
        <w:t>Athletic operations is a broader category encompassing the logistics of team travel, equipment management, practice and competition scheduling, facilities coordination, and event management for home athletic contests. Graduate students in operations roles develop project management, logistics, vendor management, and problem-solving competencies that are highly transferable. The fast-paced, deadline-driven nature of operations work also builds the stress management and adaptive thinking skills that are essential for long-term success in sport organizational contexts.</w:t>
      </w:r>
    </w:p>
    <w:p w14:paraId="21DFAB02" w14:textId="77777777" w:rsidR="00834E21" w:rsidRDefault="00000000">
      <w:pPr>
        <w:pStyle w:val="Heading2"/>
        <w:spacing w:after="120"/>
      </w:pPr>
      <w:r>
        <w:t>4.7 Conference Office and Championship Hosting Experiences</w:t>
      </w:r>
    </w:p>
    <w:p w14:paraId="1CB03575" w14:textId="77777777" w:rsidR="00834E21" w:rsidRDefault="00000000">
      <w:pPr>
        <w:spacing w:after="160" w:line="360" w:lineRule="auto"/>
        <w:ind w:firstLine="720"/>
        <w:jc w:val="both"/>
      </w:pPr>
      <w:r>
        <w:t xml:space="preserve">Athletic conference offices represent an often-overlooked experiential learning opportunity for sport management graduate students. Conference offices coordinate governance, championships, media contracts, officiating, compliance oversight, and marketing across their member institutions, providing a perspective on collegiate athletics that transcends any individual institution. Applied learning experiences in conference offices expose students to the political and </w:t>
      </w:r>
      <w:r>
        <w:lastRenderedPageBreak/>
        <w:t>governance dimensions of intercollegiate athletics, the commercial landscape of conference media agreements, and the operational complexity of managing multi-institution championship events.</w:t>
      </w:r>
    </w:p>
    <w:p w14:paraId="2EFF9927" w14:textId="4D043B7C" w:rsidR="00834E21" w:rsidRDefault="00000000">
      <w:pPr>
        <w:spacing w:after="160" w:line="360" w:lineRule="auto"/>
        <w:ind w:firstLine="720"/>
        <w:jc w:val="both"/>
      </w:pPr>
      <w:r>
        <w:t xml:space="preserve">Championship hosting represents another distinctive experiential opportunity for graduate students and young professionals. When institutions host NCAA championship events, they typically assemble host committees that coordinate with the NCAA national office, local government, tourism organizations, and community partners to deliver a successful championship experience. Graduate students who participate in championship hosting develop </w:t>
      </w:r>
      <w:r w:rsidR="000F7E72">
        <w:t>competencies in event management, stakeholder coordination, volunteer management, and community relations while gaining direct experience with the NCAA's operational standards and organizational culture.</w:t>
      </w:r>
    </w:p>
    <w:p w14:paraId="1EA34A3B" w14:textId="77777777" w:rsidR="00834E21" w:rsidRDefault="00000000">
      <w:pPr>
        <w:spacing w:after="160" w:line="360" w:lineRule="auto"/>
        <w:ind w:firstLine="720"/>
        <w:jc w:val="both"/>
      </w:pPr>
      <w:r>
        <w:t xml:space="preserve">Taks et al. (2015) documented </w:t>
      </w:r>
      <w:proofErr w:type="gramStart"/>
      <w:r>
        <w:t>that non-mega events</w:t>
      </w:r>
      <w:proofErr w:type="gramEnd"/>
      <w:r>
        <w:t>, such as regional and national collegiate championships, provide opportunities for more positive community outcomes than mega-events because they allow for tighter social networks and community connectedness. This observation suggests that sport management graduates who develop expertise in mid-scale championship event management are positioned to create genuine community value through their professional work while building transferable competencies in event planning, operations, and stakeholder engagement.</w:t>
      </w:r>
    </w:p>
    <w:p w14:paraId="79C590BD" w14:textId="77777777" w:rsidR="00834E21" w:rsidRDefault="00000000">
      <w:pPr>
        <w:pStyle w:val="Heading2"/>
        <w:spacing w:after="120"/>
      </w:pPr>
      <w:r>
        <w:t>Discussion Questions</w:t>
      </w:r>
    </w:p>
    <w:p w14:paraId="2B4EA75C" w14:textId="77777777" w:rsidR="00834E21" w:rsidRDefault="00000000">
      <w:pPr>
        <w:spacing w:before="100" w:after="60" w:line="320" w:lineRule="auto"/>
        <w:ind w:left="720" w:hanging="360"/>
        <w:jc w:val="both"/>
      </w:pPr>
      <w:r>
        <w:rPr>
          <w:b/>
          <w:bCs/>
          <w:sz w:val="22"/>
          <w:szCs w:val="22"/>
        </w:rPr>
        <w:t xml:space="preserve">1. </w:t>
      </w:r>
      <w:r>
        <w:rPr>
          <w:sz w:val="22"/>
          <w:szCs w:val="22"/>
        </w:rPr>
        <w:t>Odio and Menaker (2023) argued that sport management internships and assistantships often prioritize operational contributions over student development. Drawing on your own experience or the experiences described by practitioners you have interviewed, how would you evaluate the balance between educational and operational objectives in collegiate athletics graduate assistantships?</w:t>
      </w:r>
    </w:p>
    <w:p w14:paraId="03774247" w14:textId="77777777" w:rsidR="00834E21" w:rsidRDefault="00000000">
      <w:pPr>
        <w:spacing w:before="100" w:after="60" w:line="320" w:lineRule="auto"/>
        <w:ind w:left="720" w:hanging="360"/>
        <w:jc w:val="both"/>
      </w:pPr>
      <w:r>
        <w:rPr>
          <w:b/>
          <w:bCs/>
          <w:sz w:val="22"/>
          <w:szCs w:val="22"/>
        </w:rPr>
        <w:t xml:space="preserve">2. </w:t>
      </w:r>
      <w:proofErr w:type="spellStart"/>
      <w:r>
        <w:rPr>
          <w:sz w:val="22"/>
          <w:szCs w:val="22"/>
        </w:rPr>
        <w:t>Charitonidi</w:t>
      </w:r>
      <w:proofErr w:type="spellEnd"/>
      <w:r>
        <w:rPr>
          <w:sz w:val="22"/>
          <w:szCs w:val="22"/>
        </w:rPr>
        <w:t xml:space="preserve"> and </w:t>
      </w:r>
      <w:proofErr w:type="spellStart"/>
      <w:r>
        <w:rPr>
          <w:sz w:val="22"/>
          <w:szCs w:val="22"/>
        </w:rPr>
        <w:t>Kaburakis</w:t>
      </w:r>
      <w:proofErr w:type="spellEnd"/>
      <w:r>
        <w:rPr>
          <w:sz w:val="22"/>
          <w:szCs w:val="22"/>
        </w:rPr>
        <w:t xml:space="preserve"> (2022) found that international student-athletes face discrimination, neglect, and inadequate institutional support at NCAA institutions. What responsibilities do athletic department professionals, including those in graduate assistantship roles, have to advocate for the welfare of international student-athletes?</w:t>
      </w:r>
    </w:p>
    <w:p w14:paraId="113646B5" w14:textId="77777777" w:rsidR="00834E21" w:rsidRDefault="00000000">
      <w:pPr>
        <w:spacing w:before="100" w:after="60" w:line="320" w:lineRule="auto"/>
        <w:ind w:left="720" w:hanging="360"/>
        <w:jc w:val="both"/>
      </w:pPr>
      <w:r>
        <w:rPr>
          <w:b/>
          <w:bCs/>
          <w:sz w:val="22"/>
          <w:szCs w:val="22"/>
        </w:rPr>
        <w:t xml:space="preserve">3. </w:t>
      </w:r>
      <w:r>
        <w:rPr>
          <w:sz w:val="22"/>
          <w:szCs w:val="22"/>
        </w:rPr>
        <w:t>Athletic development professionals must balance relationship management with solicitation. Drawing on the organizational communication literature, how would you advise a new development professional to navigate the ethical dimensions of donor relationship management, particularly when institutional needs and donor interests are in tension?</w:t>
      </w:r>
    </w:p>
    <w:p w14:paraId="6A4347F9" w14:textId="77777777" w:rsidR="00834E21" w:rsidRDefault="00000000">
      <w:pPr>
        <w:spacing w:before="100" w:after="60" w:line="320" w:lineRule="auto"/>
        <w:ind w:left="720" w:hanging="360"/>
        <w:jc w:val="both"/>
      </w:pPr>
      <w:r>
        <w:rPr>
          <w:b/>
          <w:bCs/>
          <w:sz w:val="22"/>
          <w:szCs w:val="22"/>
        </w:rPr>
        <w:lastRenderedPageBreak/>
        <w:t xml:space="preserve">4. </w:t>
      </w:r>
      <w:r>
        <w:rPr>
          <w:sz w:val="22"/>
          <w:szCs w:val="22"/>
        </w:rPr>
        <w:t xml:space="preserve">McFadden and Stenta (2015) argued that collegiate athletics provides meaningful leadership development for student employees. Identify a specific leadership development opportunity available in </w:t>
      </w:r>
      <w:proofErr w:type="gramStart"/>
      <w:r>
        <w:rPr>
          <w:sz w:val="22"/>
          <w:szCs w:val="22"/>
        </w:rPr>
        <w:t>a collegiate athletics</w:t>
      </w:r>
      <w:proofErr w:type="gramEnd"/>
      <w:r>
        <w:rPr>
          <w:sz w:val="22"/>
          <w:szCs w:val="22"/>
        </w:rPr>
        <w:t xml:space="preserve"> applied learning context and articulate how you would intentionally use it to develop a specific leadership competency.</w:t>
      </w:r>
    </w:p>
    <w:p w14:paraId="322CFA78" w14:textId="77777777" w:rsidR="00834E21" w:rsidRDefault="00000000">
      <w:pPr>
        <w:spacing w:before="100" w:after="60" w:line="320" w:lineRule="auto"/>
        <w:ind w:left="720" w:hanging="360"/>
        <w:jc w:val="both"/>
      </w:pPr>
      <w:r>
        <w:rPr>
          <w:b/>
          <w:bCs/>
          <w:sz w:val="22"/>
          <w:szCs w:val="22"/>
        </w:rPr>
        <w:t xml:space="preserve">5. </w:t>
      </w:r>
      <w:r>
        <w:rPr>
          <w:sz w:val="22"/>
          <w:szCs w:val="22"/>
        </w:rPr>
        <w:t>The emergence of NIL policy has created new complexities for compliance professionals in collegiate athletics. Research the current state of NIL regulation at the NCAA level and identify three specific compliance challenges that athletic departments must currently address. What competencies do compliance professionals need to manage these challenges effectively?</w:t>
      </w:r>
    </w:p>
    <w:p w14:paraId="11E70415" w14:textId="0D58E0ED" w:rsidR="00834E21" w:rsidRDefault="00000000" w:rsidP="000F7E72">
      <w:pPr>
        <w:pStyle w:val="Heading2"/>
        <w:spacing w:after="120"/>
      </w:pPr>
      <w:r>
        <w:t>Reflection Practices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7"/>
        <w:gridCol w:w="7743"/>
      </w:tblGrid>
      <w:tr w:rsidR="00834E21" w14:paraId="41C477DA" w14:textId="77777777" w:rsidTr="000F7E72">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6AA15F8D" w14:textId="77777777" w:rsidR="00834E21" w:rsidRDefault="00000000">
            <w:pPr>
              <w:jc w:val="center"/>
            </w:pPr>
            <w:r>
              <w:rPr>
                <w:rFonts w:ascii="Arial" w:eastAsia="Arial" w:hAnsi="Arial" w:cs="Arial"/>
                <w:b/>
                <w:bCs/>
                <w:color w:val="2E4057"/>
                <w:sz w:val="28"/>
                <w:szCs w:val="28"/>
              </w:rPr>
              <w:t>1</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4BDB93DE" w14:textId="77777777" w:rsidR="00834E21" w:rsidRDefault="00000000">
            <w:pPr>
              <w:spacing w:line="300" w:lineRule="auto"/>
              <w:jc w:val="both"/>
            </w:pPr>
            <w:r>
              <w:rPr>
                <w:b/>
                <w:bCs/>
                <w:color w:val="2E4057"/>
                <w:sz w:val="22"/>
                <w:szCs w:val="22"/>
              </w:rPr>
              <w:t xml:space="preserve">Athletic Department Organizational Analysis: Identify an NCAA member institution's athletic department website and construct an organizational chart identifying the major functional areas and reporting relationships. </w:t>
            </w:r>
            <w:r>
              <w:rPr>
                <w:color w:val="1A1A1A"/>
                <w:sz w:val="22"/>
                <w:szCs w:val="22"/>
              </w:rPr>
              <w:t>Write a 400-word analysis of what the organizational structure reveals about that department's strategic priorities, resource allocation, and professional development culture.</w:t>
            </w:r>
          </w:p>
        </w:tc>
      </w:tr>
      <w:tr w:rsidR="00834E21" w14:paraId="31137A24" w14:textId="77777777" w:rsidTr="000F7E72">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2936B59F" w14:textId="77777777" w:rsidR="00834E21" w:rsidRDefault="00000000">
            <w:pPr>
              <w:jc w:val="center"/>
            </w:pPr>
            <w:r>
              <w:rPr>
                <w:rFonts w:ascii="Arial" w:eastAsia="Arial" w:hAnsi="Arial" w:cs="Arial"/>
                <w:b/>
                <w:bCs/>
                <w:color w:val="2E4057"/>
                <w:sz w:val="28"/>
                <w:szCs w:val="28"/>
              </w:rPr>
              <w:t>2</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32E25CEB" w14:textId="77777777" w:rsidR="00834E21" w:rsidRDefault="00000000">
            <w:pPr>
              <w:spacing w:line="300" w:lineRule="auto"/>
              <w:jc w:val="both"/>
            </w:pPr>
            <w:r>
              <w:rPr>
                <w:b/>
                <w:bCs/>
                <w:color w:val="2E4057"/>
                <w:sz w:val="22"/>
                <w:szCs w:val="22"/>
              </w:rPr>
              <w:t xml:space="preserve">Graduate Assistantship Learning Contract: Draft a learning contract for a hypothetical or actual graduate assistantship in collegiate athletics. </w:t>
            </w:r>
            <w:r>
              <w:rPr>
                <w:color w:val="1A1A1A"/>
                <w:sz w:val="22"/>
                <w:szCs w:val="22"/>
              </w:rPr>
              <w:t>The contract should include specific learning objectives tied to the NACE career readiness competencies, a description of the applied learning activities through which those objectives will be pursued, the forms of supervision and feedback that will support learning, and the artifacts that will document competency development.</w:t>
            </w:r>
          </w:p>
        </w:tc>
      </w:tr>
      <w:tr w:rsidR="00834E21" w14:paraId="39AA0558" w14:textId="77777777" w:rsidTr="000F7E72">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53417797" w14:textId="77777777" w:rsidR="00834E21" w:rsidRDefault="00000000">
            <w:pPr>
              <w:jc w:val="center"/>
            </w:pPr>
            <w:r>
              <w:rPr>
                <w:rFonts w:ascii="Arial" w:eastAsia="Arial" w:hAnsi="Arial" w:cs="Arial"/>
                <w:b/>
                <w:bCs/>
                <w:color w:val="2E4057"/>
                <w:sz w:val="28"/>
                <w:szCs w:val="28"/>
              </w:rPr>
              <w:t>3</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1195C4C2" w14:textId="77777777" w:rsidR="00834E21" w:rsidRDefault="00000000">
            <w:pPr>
              <w:spacing w:line="300" w:lineRule="auto"/>
              <w:jc w:val="both"/>
            </w:pPr>
            <w:r>
              <w:rPr>
                <w:b/>
                <w:bCs/>
                <w:color w:val="2E4057"/>
                <w:sz w:val="22"/>
                <w:szCs w:val="22"/>
              </w:rPr>
              <w:t xml:space="preserve">Student-Athlete Development Case Study: Identify a real or hypothetical case involving a student-athlete who is experiencing a conflict between academic obligations and athletic demands. </w:t>
            </w:r>
            <w:r>
              <w:rPr>
                <w:color w:val="1A1A1A"/>
                <w:sz w:val="22"/>
                <w:szCs w:val="22"/>
              </w:rPr>
              <w:t>Apply principles from the student-athlete development literature to analyze the situation and develop a recommended support plan, identifying specific resources, communication strategies, and monitoring mechanisms.</w:t>
            </w:r>
          </w:p>
        </w:tc>
      </w:tr>
      <w:tr w:rsidR="00834E21" w14:paraId="2B315C30" w14:textId="77777777" w:rsidTr="000F7E72">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4A9BC3A8" w14:textId="77777777" w:rsidR="00834E21" w:rsidRDefault="00000000">
            <w:pPr>
              <w:jc w:val="center"/>
            </w:pPr>
            <w:r>
              <w:rPr>
                <w:rFonts w:ascii="Arial" w:eastAsia="Arial" w:hAnsi="Arial" w:cs="Arial"/>
                <w:b/>
                <w:bCs/>
                <w:color w:val="2E4057"/>
                <w:sz w:val="28"/>
                <w:szCs w:val="28"/>
              </w:rPr>
              <w:t>4</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54ADD0D5" w14:textId="77777777" w:rsidR="00834E21" w:rsidRDefault="00000000">
            <w:pPr>
              <w:spacing w:line="300" w:lineRule="auto"/>
              <w:jc w:val="both"/>
            </w:pPr>
            <w:r>
              <w:rPr>
                <w:b/>
                <w:bCs/>
                <w:color w:val="2E4057"/>
                <w:sz w:val="22"/>
                <w:szCs w:val="22"/>
              </w:rPr>
              <w:t xml:space="preserve">Donor Cultivation Role-Play: Participate in a simulated major gift donor cultivation conversation with a classmate playing the role of a prospective donor. </w:t>
            </w:r>
            <w:r>
              <w:rPr>
                <w:color w:val="1A1A1A"/>
                <w:sz w:val="22"/>
                <w:szCs w:val="22"/>
              </w:rPr>
              <w:t>Draw on principles of relationship management and philanthropic motivation to develop a cultivation strategy, and write a 300-word post-interaction reflection analyzing what you did well and what you would approach differently.</w:t>
            </w:r>
          </w:p>
        </w:tc>
      </w:tr>
      <w:tr w:rsidR="00834E21" w14:paraId="4898C88D" w14:textId="77777777" w:rsidTr="000F7E72">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1FAA6AFE" w14:textId="77777777" w:rsidR="00834E21" w:rsidRDefault="00000000">
            <w:pPr>
              <w:jc w:val="center"/>
            </w:pPr>
            <w:r>
              <w:rPr>
                <w:rFonts w:ascii="Arial" w:eastAsia="Arial" w:hAnsi="Arial" w:cs="Arial"/>
                <w:b/>
                <w:bCs/>
                <w:color w:val="2E4057"/>
                <w:sz w:val="28"/>
                <w:szCs w:val="28"/>
              </w:rPr>
              <w:t>5</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67D745AC" w14:textId="77777777" w:rsidR="00834E21" w:rsidRDefault="00000000">
            <w:pPr>
              <w:spacing w:line="300" w:lineRule="auto"/>
              <w:jc w:val="both"/>
            </w:pPr>
            <w:r>
              <w:rPr>
                <w:b/>
                <w:bCs/>
                <w:color w:val="2E4057"/>
                <w:sz w:val="22"/>
                <w:szCs w:val="22"/>
              </w:rPr>
              <w:t xml:space="preserve">Conference and Championship Site Visit: If possible, attend or volunteer at a college athletic event, conference championship, or NCAA regional event. </w:t>
            </w:r>
            <w:r>
              <w:rPr>
                <w:color w:val="1A1A1A"/>
                <w:sz w:val="22"/>
                <w:szCs w:val="22"/>
              </w:rPr>
              <w:t xml:space="preserve">Write a 600-word experiential report addressing the event operations you observed, the </w:t>
            </w:r>
            <w:r>
              <w:rPr>
                <w:color w:val="1A1A1A"/>
                <w:sz w:val="22"/>
                <w:szCs w:val="22"/>
              </w:rPr>
              <w:lastRenderedPageBreak/>
              <w:t>stakeholder relationships you witnessed, the fan experience quality, and the specific applied learning you extracted from the experience.</w:t>
            </w:r>
          </w:p>
        </w:tc>
      </w:tr>
    </w:tbl>
    <w:p w14:paraId="2852A6BC" w14:textId="77777777" w:rsidR="00834E21" w:rsidRDefault="00834E21">
      <w:pPr>
        <w:spacing w:before="240"/>
      </w:pPr>
    </w:p>
    <w:p w14:paraId="1583A915" w14:textId="77777777" w:rsidR="00834E21" w:rsidRDefault="00000000">
      <w:pPr>
        <w:pStyle w:val="Heading2"/>
        <w:spacing w:after="120"/>
      </w:pPr>
      <w:r>
        <w:t>References</w:t>
      </w:r>
    </w:p>
    <w:p w14:paraId="76FA44D8" w14:textId="77777777" w:rsidR="00834E21" w:rsidRDefault="00000000">
      <w:pPr>
        <w:spacing w:before="60" w:after="60" w:line="320" w:lineRule="auto"/>
        <w:ind w:left="720" w:hanging="720"/>
        <w:jc w:val="both"/>
      </w:pPr>
      <w:proofErr w:type="spellStart"/>
      <w:r>
        <w:rPr>
          <w:sz w:val="22"/>
          <w:szCs w:val="22"/>
        </w:rPr>
        <w:t>Charitonidi</w:t>
      </w:r>
      <w:proofErr w:type="spellEnd"/>
      <w:r>
        <w:rPr>
          <w:sz w:val="22"/>
          <w:szCs w:val="22"/>
        </w:rPr>
        <w:t xml:space="preserve">, I., &amp; </w:t>
      </w:r>
      <w:proofErr w:type="spellStart"/>
      <w:r>
        <w:rPr>
          <w:sz w:val="22"/>
          <w:szCs w:val="22"/>
        </w:rPr>
        <w:t>Kaburakis</w:t>
      </w:r>
      <w:proofErr w:type="spellEnd"/>
      <w:r>
        <w:rPr>
          <w:sz w:val="22"/>
          <w:szCs w:val="22"/>
        </w:rPr>
        <w:t>, A. (2022). The international student-athlete experience. Sports Innovation Journal, 3(SI), 95-109. https://doi.org/10.18060/26060</w:t>
      </w:r>
    </w:p>
    <w:p w14:paraId="7A3017D6" w14:textId="77777777" w:rsidR="00834E21" w:rsidRDefault="00000000">
      <w:pPr>
        <w:spacing w:before="60" w:after="60" w:line="320" w:lineRule="auto"/>
        <w:ind w:left="720" w:hanging="720"/>
        <w:jc w:val="both"/>
      </w:pPr>
      <w:r>
        <w:rPr>
          <w:sz w:val="22"/>
          <w:szCs w:val="22"/>
        </w:rPr>
        <w:t>McFadden, C. W., &amp; Stenta, D. A. (2015). Connecting collegiate recreation and athletics to leadership. New Directions for Student Leadership, 147, 5-18. https://doi.org/10.1002/yd.20139</w:t>
      </w:r>
    </w:p>
    <w:p w14:paraId="220F793C" w14:textId="77777777" w:rsidR="00834E21" w:rsidRDefault="00000000">
      <w:pPr>
        <w:spacing w:before="60" w:after="60" w:line="320" w:lineRule="auto"/>
        <w:ind w:left="720" w:hanging="720"/>
        <w:jc w:val="both"/>
      </w:pPr>
      <w:r>
        <w:rPr>
          <w:sz w:val="22"/>
          <w:szCs w:val="22"/>
        </w:rPr>
        <w:t>Odio, M. A., &amp; Menaker, B. E. (2023). Rethinking the sport management internship. Sports Innovation Journal, 4(SI), 152-162. https://doi.org/10.18060/27358</w:t>
      </w:r>
    </w:p>
    <w:p w14:paraId="46AABC74" w14:textId="77777777" w:rsidR="00834E21" w:rsidRDefault="00000000">
      <w:pPr>
        <w:spacing w:before="60" w:after="60" w:line="320" w:lineRule="auto"/>
        <w:ind w:left="720" w:hanging="720"/>
        <w:jc w:val="both"/>
      </w:pPr>
      <w:r>
        <w:rPr>
          <w:sz w:val="22"/>
          <w:szCs w:val="22"/>
        </w:rPr>
        <w:t>Perry, J., Anderson, A. J., &amp; Ohrberg, N. J. (2022). The digital paradigm shift: Challenges faced by HBCU sport management programs in light of modernization. Journal of Education and Recreation Patterns, 3(1), 25-35. https://doi.org/10.53016/jerp.v3i1.42</w:t>
      </w:r>
    </w:p>
    <w:p w14:paraId="1F0C76D3" w14:textId="77777777" w:rsidR="00834E21" w:rsidRDefault="00000000">
      <w:pPr>
        <w:spacing w:before="60" w:after="60" w:line="320" w:lineRule="auto"/>
        <w:ind w:left="720" w:hanging="720"/>
        <w:jc w:val="both"/>
      </w:pPr>
      <w:r>
        <w:rPr>
          <w:sz w:val="22"/>
          <w:szCs w:val="22"/>
        </w:rPr>
        <w:t xml:space="preserve">Taks, M., </w:t>
      </w:r>
      <w:proofErr w:type="spellStart"/>
      <w:r>
        <w:rPr>
          <w:sz w:val="22"/>
          <w:szCs w:val="22"/>
        </w:rPr>
        <w:t>Chalip</w:t>
      </w:r>
      <w:proofErr w:type="spellEnd"/>
      <w:r>
        <w:rPr>
          <w:sz w:val="22"/>
          <w:szCs w:val="22"/>
        </w:rPr>
        <w:t>, L., &amp; Green, B. C. (2015). Impacts and strategic outcomes from non-mega sport events for local communities. European Sport Management Quarterly, 15(1), 1-6. https://doi.org/10.1080/16184742.2014.995116</w:t>
      </w:r>
    </w:p>
    <w:p w14:paraId="3C373779" w14:textId="77777777" w:rsidR="00834E21" w:rsidRDefault="00000000">
      <w:r>
        <w:br w:type="page"/>
      </w:r>
    </w:p>
    <w:p w14:paraId="2D57E6FD" w14:textId="77777777" w:rsidR="00834E21" w:rsidRDefault="00000000">
      <w:pPr>
        <w:pStyle w:val="Heading1"/>
        <w:spacing w:after="120"/>
      </w:pPr>
      <w:r>
        <w:lastRenderedPageBreak/>
        <w:t>Chapter 5: Sport Sales, Sponsorship, and Revenue Generation Experiences</w:t>
      </w:r>
    </w:p>
    <w:p w14:paraId="20453D12" w14:textId="77777777" w:rsidR="00834E21" w:rsidRDefault="00000000">
      <w:pPr>
        <w:pStyle w:val="Heading2"/>
        <w:spacing w:after="120"/>
      </w:pPr>
      <w:r>
        <w:t>5.1 Importance of Revenue Generation in Sports</w:t>
      </w:r>
    </w:p>
    <w:p w14:paraId="1B44A81E" w14:textId="77777777" w:rsidR="00834E21" w:rsidRDefault="00000000">
      <w:pPr>
        <w:spacing w:after="160" w:line="360" w:lineRule="auto"/>
        <w:ind w:firstLine="720"/>
        <w:jc w:val="both"/>
      </w:pPr>
      <w:r>
        <w:t>Revenue generation is foundational to the operational sustainability of virtually every sport organization, from professional franchises to collegiate athletic departments to community recreational leagues. Without adequate and reliable revenue streams, organizations cannot invest in athlete development, facility maintenance, marketing, staff compensation, or community programming. Understanding the mechanisms through which sport organizations generate revenue is therefore not merely a financial literacy exercise but a strategic competency essential for professionals in virtually every functional area of sport management.</w:t>
      </w:r>
    </w:p>
    <w:p w14:paraId="33F252CD" w14:textId="25B98AEA" w:rsidR="00834E21" w:rsidRDefault="00000000">
      <w:pPr>
        <w:spacing w:after="160" w:line="360" w:lineRule="auto"/>
        <w:ind w:firstLine="720"/>
        <w:jc w:val="both"/>
      </w:pPr>
      <w:r>
        <w:t>The primary revenue streams available to sport</w:t>
      </w:r>
      <w:r w:rsidR="000F7E72">
        <w:t>s</w:t>
      </w:r>
      <w:r>
        <w:t xml:space="preserve"> organizations include ticket sales, media rights agreements, corporate sponsorships, licensed merchandise, food and beverage services, facility naming rights, premium seating and hospitality, and philanthropic contributions. Each of these streams requires distinct professional competencies to develop and manage effectively, and each is subject to distinct market forces and organizational contexts. Graduate students who develop a broad understanding of revenue generation across multiple domains are more versatile and valuable professionals than those who master a single revenue stream in isolation.</w:t>
      </w:r>
    </w:p>
    <w:p w14:paraId="725F5C62" w14:textId="48C66B7F" w:rsidR="00834E21" w:rsidRDefault="00000000">
      <w:pPr>
        <w:spacing w:after="160" w:line="360" w:lineRule="auto"/>
        <w:ind w:firstLine="720"/>
        <w:jc w:val="both"/>
      </w:pPr>
      <w:r>
        <w:t xml:space="preserve">O'Reilly et al. (2018) noted that sponsorship sales in professional sport is an area of increasing attention and growing investment and that a shift in the activation and service paradigm has been reported, driven by technology changes to digital channels and increased sophistication by the sponsorship sales departments of professional sport properties. This observation </w:t>
      </w:r>
      <w:r w:rsidR="000F7E72">
        <w:t>highlights</w:t>
      </w:r>
      <w:r>
        <w:t xml:space="preserve"> the dynamic nature of revenue generation in sport, where new technologies, shifting consumer behaviors, and evolving corporate marketing priorities continu</w:t>
      </w:r>
      <w:r w:rsidR="000F7E72">
        <w:t>al</w:t>
      </w:r>
      <w:r>
        <w:t xml:space="preserve">ly reshape the strategies and tactics that </w:t>
      </w:r>
      <w:r w:rsidR="000F7E72">
        <w:t>deliver</w:t>
      </w:r>
      <w:r>
        <w:t xml:space="preserve"> optimal results. Graduate students who develop foundational competencies in revenue generation and then commit to ongoing professional learning will be best positioned to adapt to these changes throughout their careers.</w:t>
      </w:r>
    </w:p>
    <w:p w14:paraId="4F681A9B" w14:textId="77777777" w:rsidR="00834E21" w:rsidRDefault="00000000">
      <w:pPr>
        <w:pStyle w:val="Heading2"/>
        <w:spacing w:after="120"/>
      </w:pPr>
      <w:r>
        <w:t>5.2 Ticket Sales and CRM Systems</w:t>
      </w:r>
    </w:p>
    <w:p w14:paraId="67D181A6" w14:textId="77777777" w:rsidR="00834E21" w:rsidRDefault="00000000">
      <w:pPr>
        <w:spacing w:after="160" w:line="360" w:lineRule="auto"/>
        <w:ind w:firstLine="720"/>
        <w:jc w:val="both"/>
      </w:pPr>
      <w:r>
        <w:t xml:space="preserve">Ticket sales </w:t>
      </w:r>
      <w:proofErr w:type="gramStart"/>
      <w:r>
        <w:t>remains</w:t>
      </w:r>
      <w:proofErr w:type="gramEnd"/>
      <w:r>
        <w:t xml:space="preserve"> the most fundamental form of direct revenue generation for event-dependent sport organizations, and proficiency in selling tickets is among the most consistently </w:t>
      </w:r>
      <w:r>
        <w:lastRenderedPageBreak/>
        <w:t xml:space="preserve">valued competencies in the sport industry job market. Professional ticket sales </w:t>
      </w:r>
      <w:proofErr w:type="gramStart"/>
      <w:r>
        <w:t>involves</w:t>
      </w:r>
      <w:proofErr w:type="gramEnd"/>
      <w:r>
        <w:t xml:space="preserve"> prospecting for potential buyers, conducting outbound sales calls, managing relationships with current season ticket holders, creating and presenting group sales packages, and utilizing CRM software systems to track leads, manage accounts, and analyze sales performance data. Each of these activities requires a distinct combination of interpersonal, analytical, and organizational skills.</w:t>
      </w:r>
    </w:p>
    <w:p w14:paraId="6B67B93C" w14:textId="77777777" w:rsidR="00834E21" w:rsidRDefault="00000000">
      <w:pPr>
        <w:spacing w:after="160" w:line="360" w:lineRule="auto"/>
        <w:ind w:firstLine="720"/>
        <w:jc w:val="both"/>
      </w:pPr>
      <w:r>
        <w:t>Pierce et al. (2011) demonstrated in a quasi-experimental study that students who completed an experiential, client-based sport sales course selling season tickets for an intercollegiate athletic department significantly improved their knowledge background, ability to open the sale, and enthusiasm during sales calls compared to a control group with no sales experience. This research provides direct empirical support for the value of sales-focused experiential learning and underscores the importance of providing students with real sales responsibilities, authentic customer interactions, and feedback from professional evaluators.</w:t>
      </w:r>
    </w:p>
    <w:p w14:paraId="053A1D46" w14:textId="77777777" w:rsidR="00834E21" w:rsidRDefault="00000000">
      <w:pPr>
        <w:spacing w:after="160" w:line="360" w:lineRule="auto"/>
        <w:ind w:firstLine="720"/>
        <w:jc w:val="both"/>
      </w:pPr>
      <w:r>
        <w:t xml:space="preserve">CRM systems have become standard infrastructure for professional ticket sales operations, enabling sales teams to manage large volumes of prospect and customer data, track interaction histories, automate follow-up communications, and analyze sales pipeline data to optimize strategy. Graduate students who develop proficiency in widely used CRM platforms during their applied learning experiences, such as Salesforce, </w:t>
      </w:r>
      <w:proofErr w:type="spellStart"/>
      <w:r>
        <w:t>Archtics</w:t>
      </w:r>
      <w:proofErr w:type="spellEnd"/>
      <w:r>
        <w:t>, or Microsoft Dynamics, gain a practical advantage in the job market. Programs that partner with sport organizations to provide students with hands-on CRM training as part of their experiential learning curriculum build a competency that is immediately actionable in professional contexts.</w:t>
      </w:r>
    </w:p>
    <w:p w14:paraId="2181BE41" w14:textId="77777777" w:rsidR="00834E21" w:rsidRDefault="00000000">
      <w:pPr>
        <w:spacing w:before="200" w:after="60"/>
      </w:pPr>
      <w:r>
        <w:rPr>
          <w:rFonts w:ascii="Arial" w:eastAsia="Arial" w:hAnsi="Arial" w:cs="Arial"/>
          <w:b/>
          <w:bCs/>
          <w:color w:val="2E4057"/>
          <w:sz w:val="22"/>
          <w:szCs w:val="22"/>
        </w:rPr>
        <w:t>Table 5.1</w:t>
      </w:r>
    </w:p>
    <w:p w14:paraId="096C8375" w14:textId="77777777" w:rsidR="00834E21" w:rsidRDefault="00000000">
      <w:pPr>
        <w:spacing w:after="80"/>
      </w:pPr>
      <w:r>
        <w:rPr>
          <w:rFonts w:ascii="Arial" w:eastAsia="Arial" w:hAnsi="Arial" w:cs="Arial"/>
          <w:i/>
          <w:iCs/>
          <w:color w:val="444444"/>
          <w:sz w:val="20"/>
          <w:szCs w:val="20"/>
        </w:rPr>
        <w:t>Comparison of Ticket Sales Training Methodologies and Outcomes (Popp et al., 2017)</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160"/>
        <w:gridCol w:w="2160"/>
        <w:gridCol w:w="2880"/>
      </w:tblGrid>
      <w:tr w:rsidR="00834E21" w14:paraId="30C638DD" w14:textId="77777777">
        <w:tblPrEx>
          <w:tblCellMar>
            <w:top w:w="0" w:type="dxa"/>
            <w:bottom w:w="0" w:type="dxa"/>
          </w:tblCellMar>
        </w:tblPrEx>
        <w:trPr>
          <w:tblHeader/>
        </w:trPr>
        <w:tc>
          <w:tcPr>
            <w:tcW w:w="216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22FBC9B1" w14:textId="77777777" w:rsidR="00834E21" w:rsidRDefault="00000000">
            <w:pPr>
              <w:jc w:val="center"/>
            </w:pPr>
            <w:r>
              <w:rPr>
                <w:b/>
                <w:bCs/>
                <w:color w:val="FFFFFF"/>
                <w:sz w:val="22"/>
                <w:szCs w:val="22"/>
              </w:rPr>
              <w:t>Training Method</w:t>
            </w:r>
          </w:p>
        </w:tc>
        <w:tc>
          <w:tcPr>
            <w:tcW w:w="216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307548E5" w14:textId="77777777" w:rsidR="00834E21" w:rsidRDefault="00000000">
            <w:pPr>
              <w:jc w:val="center"/>
            </w:pPr>
            <w:r>
              <w:rPr>
                <w:b/>
                <w:bCs/>
                <w:color w:val="FFFFFF"/>
                <w:sz w:val="22"/>
                <w:szCs w:val="22"/>
              </w:rPr>
              <w:t>Primary Benefit</w:t>
            </w:r>
          </w:p>
        </w:tc>
        <w:tc>
          <w:tcPr>
            <w:tcW w:w="216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1E7A3882" w14:textId="77777777" w:rsidR="00834E21" w:rsidRDefault="00000000">
            <w:pPr>
              <w:jc w:val="center"/>
            </w:pPr>
            <w:r>
              <w:rPr>
                <w:b/>
                <w:bCs/>
                <w:color w:val="FFFFFF"/>
                <w:sz w:val="22"/>
                <w:szCs w:val="22"/>
              </w:rPr>
              <w:t>Best Suited For</w:t>
            </w:r>
          </w:p>
        </w:tc>
        <w:tc>
          <w:tcPr>
            <w:tcW w:w="288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51D6995C" w14:textId="77777777" w:rsidR="00834E21" w:rsidRDefault="00000000">
            <w:pPr>
              <w:jc w:val="center"/>
            </w:pPr>
            <w:r>
              <w:rPr>
                <w:b/>
                <w:bCs/>
                <w:color w:val="FFFFFF"/>
                <w:sz w:val="22"/>
                <w:szCs w:val="22"/>
              </w:rPr>
              <w:t>Evidence of Impact</w:t>
            </w:r>
          </w:p>
        </w:tc>
      </w:tr>
      <w:tr w:rsidR="00834E21" w14:paraId="19EB5649" w14:textId="77777777">
        <w:tblPrEx>
          <w:tblCellMar>
            <w:top w:w="0" w:type="dxa"/>
            <w:bottom w:w="0" w:type="dxa"/>
          </w:tblCellMar>
        </w:tblPrEx>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3F8032FA" w14:textId="77777777" w:rsidR="00834E21" w:rsidRDefault="00000000">
            <w:r>
              <w:rPr>
                <w:color w:val="1A1A1A"/>
                <w:sz w:val="22"/>
                <w:szCs w:val="22"/>
              </w:rPr>
              <w:t>Role-play simulation</w:t>
            </w:r>
          </w:p>
        </w:tc>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34307F9B" w14:textId="77777777" w:rsidR="00834E21" w:rsidRDefault="00000000">
            <w:r>
              <w:rPr>
                <w:color w:val="1A1A1A"/>
                <w:sz w:val="22"/>
                <w:szCs w:val="22"/>
              </w:rPr>
              <w:t>Builds real-time response skills</w:t>
            </w:r>
          </w:p>
        </w:tc>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439C2E88" w14:textId="77777777" w:rsidR="00834E21" w:rsidRDefault="00000000">
            <w:r>
              <w:rPr>
                <w:color w:val="1A1A1A"/>
                <w:sz w:val="22"/>
                <w:szCs w:val="22"/>
              </w:rPr>
              <w:t>Entry-level sellers</w:t>
            </w:r>
          </w:p>
        </w:tc>
        <w:tc>
          <w:tcPr>
            <w:tcW w:w="28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59B1ED59" w14:textId="77777777" w:rsidR="00834E21" w:rsidRDefault="00000000">
            <w:r>
              <w:rPr>
                <w:color w:val="1A1A1A"/>
                <w:sz w:val="22"/>
                <w:szCs w:val="22"/>
              </w:rPr>
              <w:t>High - direct skill transfer</w:t>
            </w:r>
          </w:p>
        </w:tc>
      </w:tr>
      <w:tr w:rsidR="00834E21" w14:paraId="0BBABF5F" w14:textId="77777777">
        <w:tblPrEx>
          <w:tblCellMar>
            <w:top w:w="0" w:type="dxa"/>
            <w:bottom w:w="0" w:type="dxa"/>
          </w:tblCellMar>
        </w:tblPrEx>
        <w:tc>
          <w:tcPr>
            <w:tcW w:w="21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7459F805" w14:textId="77777777" w:rsidR="00834E21" w:rsidRDefault="00000000">
            <w:r>
              <w:rPr>
                <w:color w:val="1A1A1A"/>
                <w:sz w:val="22"/>
                <w:szCs w:val="22"/>
              </w:rPr>
              <w:t>Live call coaching</w:t>
            </w:r>
          </w:p>
        </w:tc>
        <w:tc>
          <w:tcPr>
            <w:tcW w:w="21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3A8CDF4A" w14:textId="77777777" w:rsidR="00834E21" w:rsidRDefault="00000000">
            <w:r>
              <w:rPr>
                <w:color w:val="1A1A1A"/>
                <w:sz w:val="22"/>
                <w:szCs w:val="22"/>
              </w:rPr>
              <w:t>Immediate corrective feedback</w:t>
            </w:r>
          </w:p>
        </w:tc>
        <w:tc>
          <w:tcPr>
            <w:tcW w:w="21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495EDCF2" w14:textId="77777777" w:rsidR="00834E21" w:rsidRDefault="00000000">
            <w:r>
              <w:rPr>
                <w:color w:val="1A1A1A"/>
                <w:sz w:val="22"/>
                <w:szCs w:val="22"/>
              </w:rPr>
              <w:t>Early career (0–2 yrs)</w:t>
            </w:r>
          </w:p>
        </w:tc>
        <w:tc>
          <w:tcPr>
            <w:tcW w:w="288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574EF931" w14:textId="77777777" w:rsidR="00834E21" w:rsidRDefault="00000000">
            <w:r>
              <w:rPr>
                <w:color w:val="1A1A1A"/>
                <w:sz w:val="22"/>
                <w:szCs w:val="22"/>
              </w:rPr>
              <w:t>High - measurable goal attainment</w:t>
            </w:r>
          </w:p>
        </w:tc>
      </w:tr>
      <w:tr w:rsidR="00834E21" w14:paraId="06D2E9F6" w14:textId="77777777">
        <w:tblPrEx>
          <w:tblCellMar>
            <w:top w:w="0" w:type="dxa"/>
            <w:bottom w:w="0" w:type="dxa"/>
          </w:tblCellMar>
        </w:tblPrEx>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164C4893" w14:textId="77777777" w:rsidR="00834E21" w:rsidRDefault="00000000">
            <w:r>
              <w:rPr>
                <w:color w:val="1A1A1A"/>
                <w:sz w:val="22"/>
                <w:szCs w:val="22"/>
              </w:rPr>
              <w:t>Video review</w:t>
            </w:r>
          </w:p>
        </w:tc>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0788F790" w14:textId="77777777" w:rsidR="00834E21" w:rsidRDefault="00000000">
            <w:r>
              <w:rPr>
                <w:color w:val="1A1A1A"/>
                <w:sz w:val="22"/>
                <w:szCs w:val="22"/>
              </w:rPr>
              <w:t>Self-awareness of communication</w:t>
            </w:r>
          </w:p>
        </w:tc>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2C8DFFB8" w14:textId="77777777" w:rsidR="00834E21" w:rsidRDefault="00000000">
            <w:r>
              <w:rPr>
                <w:color w:val="1A1A1A"/>
                <w:sz w:val="22"/>
                <w:szCs w:val="22"/>
              </w:rPr>
              <w:t>Intermediate sellers</w:t>
            </w:r>
          </w:p>
        </w:tc>
        <w:tc>
          <w:tcPr>
            <w:tcW w:w="28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5E97F65B" w14:textId="77777777" w:rsidR="00834E21" w:rsidRDefault="00000000">
            <w:r>
              <w:rPr>
                <w:color w:val="1A1A1A"/>
                <w:sz w:val="22"/>
                <w:szCs w:val="22"/>
              </w:rPr>
              <w:t>Moderate - reflection-based</w:t>
            </w:r>
          </w:p>
        </w:tc>
      </w:tr>
      <w:tr w:rsidR="00834E21" w14:paraId="0DF00C22" w14:textId="77777777">
        <w:tblPrEx>
          <w:tblCellMar>
            <w:top w:w="0" w:type="dxa"/>
            <w:bottom w:w="0" w:type="dxa"/>
          </w:tblCellMar>
        </w:tblPrEx>
        <w:tc>
          <w:tcPr>
            <w:tcW w:w="21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6466413B" w14:textId="77777777" w:rsidR="00834E21" w:rsidRDefault="00000000">
            <w:r>
              <w:rPr>
                <w:color w:val="1A1A1A"/>
                <w:sz w:val="22"/>
                <w:szCs w:val="22"/>
              </w:rPr>
              <w:lastRenderedPageBreak/>
              <w:t>Shadowing veterans</w:t>
            </w:r>
          </w:p>
        </w:tc>
        <w:tc>
          <w:tcPr>
            <w:tcW w:w="21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41E15D7C" w14:textId="77777777" w:rsidR="00834E21" w:rsidRDefault="00000000">
            <w:r>
              <w:rPr>
                <w:color w:val="1A1A1A"/>
                <w:sz w:val="22"/>
                <w:szCs w:val="22"/>
              </w:rPr>
              <w:t>Observational learning of best practices</w:t>
            </w:r>
          </w:p>
        </w:tc>
        <w:tc>
          <w:tcPr>
            <w:tcW w:w="216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7DCC2AD8" w14:textId="77777777" w:rsidR="00834E21" w:rsidRDefault="00000000">
            <w:r>
              <w:rPr>
                <w:color w:val="1A1A1A"/>
                <w:sz w:val="22"/>
                <w:szCs w:val="22"/>
              </w:rPr>
              <w:t>New hires</w:t>
            </w:r>
          </w:p>
        </w:tc>
        <w:tc>
          <w:tcPr>
            <w:tcW w:w="288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1C94A7A4" w14:textId="77777777" w:rsidR="00834E21" w:rsidRDefault="00000000">
            <w:r>
              <w:rPr>
                <w:color w:val="1A1A1A"/>
                <w:sz w:val="22"/>
                <w:szCs w:val="22"/>
              </w:rPr>
              <w:t>Moderate - depends on mentor quality</w:t>
            </w:r>
          </w:p>
        </w:tc>
      </w:tr>
      <w:tr w:rsidR="00834E21" w14:paraId="78C84767" w14:textId="77777777">
        <w:tblPrEx>
          <w:tblCellMar>
            <w:top w:w="0" w:type="dxa"/>
            <w:bottom w:w="0" w:type="dxa"/>
          </w:tblCellMar>
        </w:tblPrEx>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4D0E27C0" w14:textId="77777777" w:rsidR="00834E21" w:rsidRDefault="00000000">
            <w:r>
              <w:rPr>
                <w:color w:val="1A1A1A"/>
                <w:sz w:val="22"/>
                <w:szCs w:val="22"/>
              </w:rPr>
              <w:t>CRM data analysis</w:t>
            </w:r>
          </w:p>
        </w:tc>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3317E1D1" w14:textId="77777777" w:rsidR="00834E21" w:rsidRDefault="00000000">
            <w:r>
              <w:rPr>
                <w:color w:val="1A1A1A"/>
                <w:sz w:val="22"/>
                <w:szCs w:val="22"/>
              </w:rPr>
              <w:t>Strategic pipeline management</w:t>
            </w:r>
          </w:p>
        </w:tc>
        <w:tc>
          <w:tcPr>
            <w:tcW w:w="216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363EEC70" w14:textId="77777777" w:rsidR="00834E21" w:rsidRDefault="00000000">
            <w:r>
              <w:rPr>
                <w:color w:val="1A1A1A"/>
                <w:sz w:val="22"/>
                <w:szCs w:val="22"/>
              </w:rPr>
              <w:t>All levels</w:t>
            </w:r>
          </w:p>
        </w:tc>
        <w:tc>
          <w:tcPr>
            <w:tcW w:w="28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2701528A" w14:textId="77777777" w:rsidR="00834E21" w:rsidRDefault="00000000">
            <w:r>
              <w:rPr>
                <w:color w:val="1A1A1A"/>
                <w:sz w:val="22"/>
                <w:szCs w:val="22"/>
              </w:rPr>
              <w:t>High - drives revenue forecasting</w:t>
            </w:r>
          </w:p>
        </w:tc>
      </w:tr>
    </w:tbl>
    <w:p w14:paraId="3668415D" w14:textId="77777777" w:rsidR="00834E21" w:rsidRDefault="00000000">
      <w:pPr>
        <w:spacing w:before="80" w:after="200"/>
      </w:pPr>
      <w:r>
        <w:rPr>
          <w:i/>
          <w:iCs/>
          <w:color w:val="666666"/>
          <w:sz w:val="20"/>
          <w:szCs w:val="20"/>
        </w:rPr>
        <w:t>Note. Adapted from Popp et al. (2017). CRM = Customer Relationship Management.</w:t>
      </w:r>
    </w:p>
    <w:p w14:paraId="58A06BDE" w14:textId="77777777" w:rsidR="00834E21" w:rsidRDefault="00000000">
      <w:pPr>
        <w:pStyle w:val="Heading2"/>
        <w:spacing w:after="120"/>
      </w:pPr>
      <w:r>
        <w:t>5.3 Sponsorship Activation Projects</w:t>
      </w:r>
    </w:p>
    <w:p w14:paraId="1D5710BF" w14:textId="77777777" w:rsidR="00834E21" w:rsidRDefault="00000000">
      <w:pPr>
        <w:spacing w:after="160" w:line="360" w:lineRule="auto"/>
        <w:ind w:firstLine="720"/>
        <w:jc w:val="both"/>
      </w:pPr>
      <w:r>
        <w:t>Sponsorship activation refers to the marketing communications activities and experiences through which a corporate partner leverages their sponsorship investment to achieve specific marketing objectives. Effective activation requires a thorough understanding of the sponsor's brand positioning, target audience, and marketing goals, as well as the creativity, project management discipline, and stakeholder coordination skills to execute engaging and measurable programs. For sport management graduates, sponsorship activation competency is highly valued because it sits at the intersection of sales, marketing, event management, and corporate relationship management.</w:t>
      </w:r>
    </w:p>
    <w:p w14:paraId="302A34D9" w14:textId="77777777" w:rsidR="00834E21" w:rsidRDefault="00000000">
      <w:pPr>
        <w:spacing w:after="160" w:line="360" w:lineRule="auto"/>
        <w:ind w:firstLine="720"/>
        <w:jc w:val="both"/>
      </w:pPr>
      <w:r>
        <w:t>O'Reilly et al. (2018) found that the importance of activation and servicing in sponsorship sales was highlighted by respondents across all four major North American sport leagues, and that sport properties are making high levels of investment in sponsorship sales departments. This investment reflects the growing recognition that sponsorship retention, which depends heavily on the quality of activation and servicing, is more cost-effective than continuous new sponsor acquisition. Graduate students who develop activation competencies are positioned to contribute immediately to this high-priority organizational need.</w:t>
      </w:r>
    </w:p>
    <w:p w14:paraId="5E3A2AEB" w14:textId="77777777" w:rsidR="00834E21" w:rsidRDefault="00000000">
      <w:pPr>
        <w:spacing w:after="160" w:line="360" w:lineRule="auto"/>
        <w:ind w:firstLine="720"/>
        <w:jc w:val="both"/>
      </w:pPr>
      <w:r>
        <w:t>Activation projects in applied learning settings might include designing a sponsor-branded fan experience element for a home game, creating digital content integrating sponsor messaging, developing a sponsor hospitality event for a major home game or tournament, coordinating a community service initiative co-branded with a corporate partner, or managing the fulfillment of contractual sponsor benefits throughout a season. Each of these projects develops project management, creative, communication, and relationship management competencies while generating portfolio evidence that is compelling to prospective employers.</w:t>
      </w:r>
    </w:p>
    <w:p w14:paraId="296E6C0B" w14:textId="77777777" w:rsidR="000F7E72" w:rsidRDefault="000F7E72">
      <w:pPr>
        <w:spacing w:after="160" w:line="360" w:lineRule="auto"/>
        <w:ind w:firstLine="720"/>
        <w:jc w:val="both"/>
      </w:pPr>
    </w:p>
    <w:p w14:paraId="788D5B26" w14:textId="77777777" w:rsidR="00834E21" w:rsidRDefault="00000000">
      <w:pPr>
        <w:pStyle w:val="Heading2"/>
        <w:spacing w:after="120"/>
      </w:pPr>
      <w:r>
        <w:lastRenderedPageBreak/>
        <w:t>5.4 Corporate Partnership Experiences</w:t>
      </w:r>
    </w:p>
    <w:p w14:paraId="61EEC294" w14:textId="77777777" w:rsidR="00834E21" w:rsidRDefault="00000000">
      <w:pPr>
        <w:spacing w:after="160" w:line="360" w:lineRule="auto"/>
        <w:ind w:firstLine="720"/>
        <w:jc w:val="both"/>
      </w:pPr>
      <w:r>
        <w:t>Corporate partnership management represents the highest-value tier of sport sponsorship, involving multi-year, multi-platform agreements that integrate a corporate partner's brand across a range of organizational touchpoints including naming rights, digital and broadcast media, in-venue signage, player and coach appearances, hospitality programs, and community activation. Managing corporate partnerships requires a combination of strategic thinking, relationship management, financial acuity, creative problem-solving, and meticulous attention to contract fulfillment.</w:t>
      </w:r>
    </w:p>
    <w:p w14:paraId="1FAB98AF" w14:textId="77777777" w:rsidR="00834E21" w:rsidRDefault="00000000">
      <w:pPr>
        <w:spacing w:after="160" w:line="360" w:lineRule="auto"/>
        <w:ind w:firstLine="720"/>
        <w:jc w:val="both"/>
      </w:pPr>
      <w:r>
        <w:t>Graduate students pursuing careers in corporate partnership management benefit from applied learning experiences that expose them to the full partnership lifecycle, from initial prospecting and proposal development through negotiation, activation, and annual renewal. Observing and participating in negotiations and renewal conversations, even in a support role, provides insight into the commercial and relational dynamics of corporate partnerships that is difficult to acquire from secondary sources alone. Building relationships with both the internal team managing partnerships and the corporate contacts at partner organizations develops the interpersonal competencies that are essential for success in this relationship-intensive professional area.</w:t>
      </w:r>
    </w:p>
    <w:p w14:paraId="150D4127" w14:textId="5667435E" w:rsidR="00834E21" w:rsidRDefault="00000000">
      <w:pPr>
        <w:spacing w:after="160" w:line="360" w:lineRule="auto"/>
        <w:ind w:firstLine="720"/>
        <w:jc w:val="both"/>
      </w:pPr>
      <w:r>
        <w:t xml:space="preserve">The research </w:t>
      </w:r>
      <w:r w:rsidR="000F7E72">
        <w:t>by Kim and Drayer (2021) on official secondary ticketing partnerships illustrated that the mechanism by which official partnerships affect ticket providers' financial success involves consumer perceptions, consumer attitudes, and the extent</w:t>
      </w:r>
      <w:r>
        <w:t xml:space="preserve"> to which official status confers legitimacy on partner organizations. This nuanced finding is illustrative of the complexity of sponsorship and partnership management more broadly, where the commercial outcomes of partnership agreements are mediated by multiple factors</w:t>
      </w:r>
      <w:r w:rsidR="000F7E72">
        <w:t>,</w:t>
      </w:r>
      <w:r>
        <w:t xml:space="preserve"> including brand fit, activation quality, consumer awareness, and the strength of the underlying relationship between the sport property and the corporate partner.</w:t>
      </w:r>
    </w:p>
    <w:p w14:paraId="34053D18" w14:textId="77777777" w:rsidR="000F7E72" w:rsidRDefault="000F7E72">
      <w:pPr>
        <w:spacing w:after="160" w:line="360" w:lineRule="auto"/>
        <w:ind w:firstLine="720"/>
        <w:jc w:val="both"/>
      </w:pPr>
    </w:p>
    <w:p w14:paraId="16F1B3DF" w14:textId="77777777" w:rsidR="000F7E72" w:rsidRDefault="000F7E72">
      <w:pPr>
        <w:spacing w:after="160" w:line="360" w:lineRule="auto"/>
        <w:ind w:firstLine="720"/>
        <w:jc w:val="both"/>
      </w:pPr>
    </w:p>
    <w:p w14:paraId="54D3C2FF" w14:textId="77777777" w:rsidR="000F7E72" w:rsidRDefault="000F7E72">
      <w:pPr>
        <w:spacing w:after="160" w:line="360" w:lineRule="auto"/>
        <w:ind w:firstLine="720"/>
        <w:jc w:val="both"/>
      </w:pPr>
    </w:p>
    <w:p w14:paraId="388924E6"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7EE198E3"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00595A15"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The Art and Science of Revenue Generation</w:t>
            </w:r>
          </w:p>
        </w:tc>
      </w:tr>
      <w:tr w:rsidR="00834E21" w14:paraId="0B5EDE58"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2FB344B0" w14:textId="77777777" w:rsidR="00834E21" w:rsidRDefault="00000000">
            <w:pPr>
              <w:spacing w:line="320" w:lineRule="auto"/>
              <w:jc w:val="both"/>
            </w:pPr>
            <w:r>
              <w:rPr>
                <w:color w:val="1A1A1A"/>
                <w:sz w:val="22"/>
                <w:szCs w:val="22"/>
              </w:rPr>
              <w:t xml:space="preserve">A vice president of ticket sales at a professional basketball franchise offered this observation to a cohort of sport management graduate students: Everyone talks about the relationship in sales, and that is real. But the relationship is built on trust, and trust is built on competence. If you cannot explain to a client exactly what value they are getting and why it matters to their business, no amount of personality will save you. This insight connects directly to the research of </w:t>
            </w:r>
            <w:proofErr w:type="spellStart"/>
            <w:r>
              <w:rPr>
                <w:color w:val="1A1A1A"/>
                <w:sz w:val="22"/>
                <w:szCs w:val="22"/>
              </w:rPr>
              <w:t>Mastromartino</w:t>
            </w:r>
            <w:proofErr w:type="spellEnd"/>
            <w:r>
              <w:rPr>
                <w:color w:val="1A1A1A"/>
                <w:sz w:val="22"/>
                <w:szCs w:val="22"/>
              </w:rPr>
              <w:t xml:space="preserve"> (2024), who found that sport marketing professionals consistently identified both soft skills such as communication and relationship building and hard skills such as data analysis and storytelling as essential for career success. The graduate students who thrive in revenue generation careers are those who develop both dimensions simultaneously, treating every sales interaction as an opportunity to build not only a client relationship but a professional reputation.</w:t>
            </w:r>
          </w:p>
        </w:tc>
      </w:tr>
    </w:tbl>
    <w:p w14:paraId="5184979B" w14:textId="77777777" w:rsidR="00834E21" w:rsidRDefault="00834E21">
      <w:pPr>
        <w:spacing w:before="200"/>
      </w:pPr>
    </w:p>
    <w:p w14:paraId="66B8F3A4" w14:textId="77777777" w:rsidR="00834E21" w:rsidRDefault="00000000">
      <w:pPr>
        <w:pStyle w:val="Heading2"/>
        <w:spacing w:after="120"/>
      </w:pPr>
      <w:r>
        <w:t>5.5 The National Collegiate Sports Sales Championship</w:t>
      </w:r>
    </w:p>
    <w:p w14:paraId="6067CEB7" w14:textId="77777777" w:rsidR="00834E21" w:rsidRDefault="00000000">
      <w:pPr>
        <w:spacing w:after="160" w:line="360" w:lineRule="auto"/>
        <w:ind w:firstLine="720"/>
        <w:jc w:val="both"/>
      </w:pPr>
      <w:r>
        <w:t>The National Collegiate Sports Sales Championship (NCSSC), hosted by Baylor University, represents one of the most educationally valuable and professionally visible competitive experiential learning opportunities available to sport management students. The competition involves teams of students from programs across the country competing in simulated sport sales scenarios in which they are evaluated by industry professionals on their prospecting, presentation, objection handling, closing, and professionalism. The event simultaneously provides a competitive platform for demonstrating sales competency, a networking venue for meeting industry employers, and a benchmarking opportunity for programs to assess the quality of their sales education relative to peer programs.</w:t>
      </w:r>
    </w:p>
    <w:p w14:paraId="09723127" w14:textId="77777777" w:rsidR="00834E21" w:rsidRDefault="00000000">
      <w:pPr>
        <w:spacing w:after="160" w:line="360" w:lineRule="auto"/>
        <w:ind w:firstLine="720"/>
        <w:jc w:val="both"/>
      </w:pPr>
      <w:r>
        <w:t>Participation in competitions like the NCSSC provides experiential learning benefits that classroom instruction cannot replicate. The experience of competing in a high-stakes evaluation by experienced industry professionals, receiving immediate and honest feedback, and observing how competitors from other programs approach similar challenges generates learning that is both cognitively and emotionally salient. Pierce et al. (2011) documented the significant improvements in sales knowledge, enthusiasm, and competency that result from experiential sales education, and competition-based experiences represent an intensified form of exactly this kind of structured, evaluated, real-world performance.</w:t>
      </w:r>
    </w:p>
    <w:p w14:paraId="7CD46381" w14:textId="77777777" w:rsidR="00834E21" w:rsidRDefault="00000000">
      <w:pPr>
        <w:spacing w:after="160" w:line="360" w:lineRule="auto"/>
        <w:ind w:firstLine="720"/>
        <w:jc w:val="both"/>
      </w:pPr>
      <w:r>
        <w:lastRenderedPageBreak/>
        <w:t>Graduate programs that regularly participate in NCSSC and similar competitions report benefits extending well beyond the development of individual student competitors. The preparation process, which typically involves faculty coaching, peer feedback, and iterative performance improvement, creates a learning community around sales that elevates the professional preparation of the entire cohort. The networking opportunities generated by the competition connect students with employers from across the sport industry, and the competitive results provide a form of external validation that carries weight in job applications and interviews.</w:t>
      </w:r>
    </w:p>
    <w:p w14:paraId="7AFA50DC" w14:textId="77777777" w:rsidR="00834E21" w:rsidRDefault="00000000">
      <w:pPr>
        <w:spacing w:after="160" w:line="360" w:lineRule="auto"/>
        <w:ind w:firstLine="720"/>
        <w:jc w:val="both"/>
      </w:pPr>
      <w:proofErr w:type="spellStart"/>
      <w:r>
        <w:t>Mastromartino</w:t>
      </w:r>
      <w:proofErr w:type="spellEnd"/>
      <w:r>
        <w:t xml:space="preserve"> (2024) conducted in-depth interviews with sport marketing professionals and found that the most consistently valued competencies in the field were not technical skills in isolation but the integration of relational and analytical capabilities. Industry professionals in his study described a need for professionals who could tell the story of the data, connecting quantitative insights to strategic narrative in ways that resonate with both internal decision-makers and external partners. This finding has direct implications for how graduate students should develop their sales and sponsorship competencies, prioritizing not only the ability to generate revenue but the ability to contextualize revenue data within broader organizational and market narratives that support strategic planning.</w:t>
      </w:r>
    </w:p>
    <w:p w14:paraId="6FFCF1A5" w14:textId="77777777" w:rsidR="00834E21" w:rsidRDefault="00000000">
      <w:pPr>
        <w:spacing w:after="160" w:line="360" w:lineRule="auto"/>
        <w:ind w:firstLine="720"/>
        <w:jc w:val="both"/>
      </w:pPr>
      <w:r>
        <w:t>The evolution of digital platforms has created new activation channels and new measurement challenges for sport sponsorship professionals. Programmatic advertising, influencer partnerships, and streaming-platform sponsorships require professionals who can evaluate emerging activation opportunities against established sponsorship principles. Graduate students who develop a theoretical grounding in the mechanisms through which sponsorship creates value for corporate partners, as articulated by O'Reilly et al. (2018), will be better positioned to evaluate new activation channels as they emerge than those who develop only platform-specific tactical knowledge that may be obsolete within a few years of graduation.</w:t>
      </w:r>
    </w:p>
    <w:p w14:paraId="55CF2C2B" w14:textId="77777777" w:rsidR="00834E21" w:rsidRDefault="00000000">
      <w:pPr>
        <w:pStyle w:val="Heading2"/>
        <w:spacing w:after="120"/>
      </w:pPr>
      <w:r>
        <w:t>5.6 Premium Seating and Hospitality</w:t>
      </w:r>
    </w:p>
    <w:p w14:paraId="07DE56C0" w14:textId="77777777" w:rsidR="00834E21" w:rsidRDefault="00000000">
      <w:pPr>
        <w:spacing w:after="160" w:line="360" w:lineRule="auto"/>
        <w:ind w:firstLine="720"/>
        <w:jc w:val="both"/>
      </w:pPr>
      <w:r>
        <w:t xml:space="preserve">Premium seating and hospitality </w:t>
      </w:r>
      <w:proofErr w:type="gramStart"/>
      <w:r>
        <w:t>represents</w:t>
      </w:r>
      <w:proofErr w:type="gramEnd"/>
      <w:r>
        <w:t xml:space="preserve"> one of the fastest-growing revenue categories for major sport organizations, driven by the increasing willingness of corporate clients and affluent fans to pay premium prices for superior venue experiences. Premium products include private suites, club seats, loge boxes, field-level seating, all-inclusive hospitality areas, and post-game field access programs. Selling and managing these products requires a combination of luxury </w:t>
      </w:r>
      <w:r>
        <w:lastRenderedPageBreak/>
        <w:t>consumer knowledge, relationship management, event planning, and financial negotiation skills that are distinct from the competencies required for general admission ticket sales.</w:t>
      </w:r>
    </w:p>
    <w:p w14:paraId="77B2B127" w14:textId="77777777" w:rsidR="00834E21" w:rsidRDefault="00000000">
      <w:pPr>
        <w:spacing w:after="160" w:line="360" w:lineRule="auto"/>
        <w:ind w:firstLine="720"/>
        <w:jc w:val="both"/>
      </w:pPr>
      <w:r>
        <w:t>For graduate students pursuing revenue generation careers, applied learning experiences in premium seating sales and hospitality management provide access to the most commercially valuable segment of the sport consumer market. Understanding the motivations and expectations of corporate hospitality purchasers, developing compelling proposals for suite and club seat packages, managing the event-day experience for premium clients, and building long-term relationships that support renewal and upselling are all competencies with direct commercial value and strong career advancement potential.</w:t>
      </w:r>
    </w:p>
    <w:p w14:paraId="1D432838" w14:textId="77777777" w:rsidR="00834E21" w:rsidRDefault="00000000">
      <w:pPr>
        <w:spacing w:after="160" w:line="360" w:lineRule="auto"/>
        <w:ind w:firstLine="720"/>
        <w:jc w:val="both"/>
      </w:pPr>
      <w:r>
        <w:t>The broader hospitality competency required in premium settings connects sport management graduates to the luxury hospitality industry, creating cross-sector career opportunities that extend well beyond traditional sport employment. Graduates with strong premium hospitality experience are valued by event management companies, convention centers, hotel chains, and luxury entertainment venues, providing career flexibility that pure sport industry specialists may lack.</w:t>
      </w:r>
    </w:p>
    <w:p w14:paraId="346ABA58" w14:textId="77777777" w:rsidR="00834E21" w:rsidRDefault="00000000">
      <w:pPr>
        <w:pStyle w:val="Heading2"/>
        <w:spacing w:after="120"/>
      </w:pPr>
      <w:r>
        <w:t>5.7 Sales Leadership Development</w:t>
      </w:r>
    </w:p>
    <w:p w14:paraId="7D7B9F2D" w14:textId="77777777" w:rsidR="00834E21" w:rsidRDefault="00000000">
      <w:pPr>
        <w:spacing w:after="160" w:line="360" w:lineRule="auto"/>
        <w:ind w:firstLine="720"/>
        <w:jc w:val="both"/>
      </w:pPr>
      <w:r>
        <w:t>Sales leadership requires not only the ability to sell effectively but the competencies to build, train, motivate, and manage a team of sales professionals. Entry-level sales positions in sport organizations frequently carry an explicit or implicit expectation that successful performers will advance into sales management roles within two to three years, making the development of leadership competencies a strategic priority even for students at the earliest stages of their sales careers.</w:t>
      </w:r>
    </w:p>
    <w:p w14:paraId="0A96800E" w14:textId="77777777" w:rsidR="00834E21" w:rsidRDefault="00000000">
      <w:pPr>
        <w:spacing w:after="160" w:line="360" w:lineRule="auto"/>
        <w:ind w:firstLine="720"/>
        <w:jc w:val="both"/>
      </w:pPr>
      <w:r>
        <w:t xml:space="preserve">Popp et al. (2017) found statistically significant relationships between specific sales training methodologies and goal attainment, and documented significant differences in how sales managers and sales representatives perceived the effectiveness of different training approaches. These findings have direct implications for graduate students who aspire to sales leadership roles, suggesting that developing a nuanced understanding of sales training and performance management is a valuable complement to developing personal sales competencies. Graduate </w:t>
      </w:r>
      <w:r>
        <w:lastRenderedPageBreak/>
        <w:t>assistantships or internships in ticket sales operations that include supervisory or training responsibilities provide the most direct development of sales leadership competency.</w:t>
      </w:r>
    </w:p>
    <w:p w14:paraId="4ABB528E" w14:textId="77777777" w:rsidR="00834E21" w:rsidRDefault="00000000">
      <w:pPr>
        <w:spacing w:after="160" w:line="360" w:lineRule="auto"/>
        <w:ind w:firstLine="720"/>
        <w:jc w:val="both"/>
      </w:pPr>
      <w:r>
        <w:t>The broader literature on servant and transformational leadership, reviewed in Chapter 3, is directly applicable to sales leadership in sport organizations. Schneider and George (2011) found that servant leadership was a better predictor of voluntary club members' commitment, satisfaction, and intentions to stay than transformational leadership, suggesting that leaders who prioritize team member development and wellbeing build more resilient and motivated teams. Sales leaders who adopt a similar orientation, prioritizing the professional development and personal wellbeing of their team members alongside revenue targets, build stronger cultures and produce more sustainable sales performance.</w:t>
      </w:r>
    </w:p>
    <w:p w14:paraId="2FDB1131" w14:textId="77777777" w:rsidR="00834E21" w:rsidRDefault="00000000">
      <w:pPr>
        <w:pStyle w:val="Heading2"/>
        <w:spacing w:after="120"/>
      </w:pPr>
      <w:r>
        <w:t>Discussion Questions</w:t>
      </w:r>
    </w:p>
    <w:p w14:paraId="022F4AA3" w14:textId="77777777" w:rsidR="00834E21" w:rsidRDefault="00000000">
      <w:pPr>
        <w:spacing w:before="100" w:after="60" w:line="320" w:lineRule="auto"/>
        <w:ind w:left="720" w:hanging="360"/>
        <w:jc w:val="both"/>
      </w:pPr>
      <w:r>
        <w:rPr>
          <w:b/>
          <w:bCs/>
          <w:sz w:val="22"/>
          <w:szCs w:val="22"/>
        </w:rPr>
        <w:t xml:space="preserve">1. </w:t>
      </w:r>
      <w:r>
        <w:rPr>
          <w:sz w:val="22"/>
          <w:szCs w:val="22"/>
        </w:rPr>
        <w:t>Pierce et al. (2011) documented significant improvements in sales competency resulting from experiential sales education. What ethical responsibilities do sport organizations have when using graduate students and interns as part of their revenue generation operations? How should programs ensure that educational objectives are not subordinated to organizational revenue goals?</w:t>
      </w:r>
    </w:p>
    <w:p w14:paraId="6B4F0DC7" w14:textId="77777777" w:rsidR="00834E21" w:rsidRDefault="00000000">
      <w:pPr>
        <w:spacing w:before="100" w:after="60" w:line="320" w:lineRule="auto"/>
        <w:ind w:left="720" w:hanging="360"/>
        <w:jc w:val="both"/>
      </w:pPr>
      <w:r>
        <w:rPr>
          <w:b/>
          <w:bCs/>
          <w:sz w:val="22"/>
          <w:szCs w:val="22"/>
        </w:rPr>
        <w:t xml:space="preserve">2. </w:t>
      </w:r>
      <w:r>
        <w:rPr>
          <w:sz w:val="22"/>
          <w:szCs w:val="22"/>
        </w:rPr>
        <w:t>O'Reilly et al. (2018) found that sponsor turnover is a structural issue in professional sport. What strategies would you implement as a sponsorship sales professional to reduce turnover among your assigned portfolio of corporate partners?</w:t>
      </w:r>
    </w:p>
    <w:p w14:paraId="52D07ED5" w14:textId="77777777" w:rsidR="00834E21" w:rsidRDefault="00000000">
      <w:pPr>
        <w:spacing w:before="100" w:after="60" w:line="320" w:lineRule="auto"/>
        <w:ind w:left="720" w:hanging="360"/>
        <w:jc w:val="both"/>
      </w:pPr>
      <w:r>
        <w:rPr>
          <w:b/>
          <w:bCs/>
          <w:sz w:val="22"/>
          <w:szCs w:val="22"/>
        </w:rPr>
        <w:t xml:space="preserve">3. </w:t>
      </w:r>
      <w:r>
        <w:rPr>
          <w:sz w:val="22"/>
          <w:szCs w:val="22"/>
        </w:rPr>
        <w:t>Kim and Drayer (2021) found that official partnership status did not directly influence individual consumer purchase intentions, suggesting that the primary benefit of official secondary ticket market partnerships may be traffic facilitation rather than legitimacy transfer. What implications does this finding have for how sport organizations should evaluate the commercial value of different types of corporate partnerships?</w:t>
      </w:r>
    </w:p>
    <w:p w14:paraId="239EA598" w14:textId="77777777" w:rsidR="00834E21" w:rsidRDefault="00000000">
      <w:pPr>
        <w:spacing w:before="100" w:after="60" w:line="320" w:lineRule="auto"/>
        <w:ind w:left="720" w:hanging="360"/>
        <w:jc w:val="both"/>
      </w:pPr>
      <w:r>
        <w:rPr>
          <w:b/>
          <w:bCs/>
          <w:sz w:val="22"/>
          <w:szCs w:val="22"/>
        </w:rPr>
        <w:t xml:space="preserve">4. </w:t>
      </w:r>
      <w:r>
        <w:rPr>
          <w:sz w:val="22"/>
          <w:szCs w:val="22"/>
        </w:rPr>
        <w:t>Popp et al. (2017) found an alarming lack of systematic sales training in sport organizations. If you were a sport management graduate hired into a sales organization with inadequate training infrastructure, what steps would you take to accelerate your own professional development despite the organizational gap?</w:t>
      </w:r>
    </w:p>
    <w:p w14:paraId="1843877F" w14:textId="77777777" w:rsidR="00834E21" w:rsidRDefault="00000000">
      <w:pPr>
        <w:spacing w:before="100" w:after="60" w:line="320" w:lineRule="auto"/>
        <w:ind w:left="720" w:hanging="360"/>
        <w:jc w:val="both"/>
      </w:pPr>
      <w:r>
        <w:rPr>
          <w:b/>
          <w:bCs/>
          <w:sz w:val="22"/>
          <w:szCs w:val="22"/>
        </w:rPr>
        <w:t xml:space="preserve">5. </w:t>
      </w:r>
      <w:r>
        <w:rPr>
          <w:sz w:val="22"/>
          <w:szCs w:val="22"/>
        </w:rPr>
        <w:t>The premium seating and hospitality market represents the highest-value segment of sport consumer revenue. Identify a specific sport organization and describe the premium product portfolio you would develop for it, including pricing strategy, product design, target audience identification, and activation programming.</w:t>
      </w:r>
    </w:p>
    <w:p w14:paraId="55F68C6E" w14:textId="77777777" w:rsidR="00D5035A" w:rsidRDefault="00D5035A">
      <w:pPr>
        <w:pStyle w:val="Heading2"/>
        <w:spacing w:after="120"/>
      </w:pPr>
    </w:p>
    <w:p w14:paraId="4D1FFB11" w14:textId="540B70E3" w:rsidR="00834E21" w:rsidRDefault="00000000">
      <w:pPr>
        <w:pStyle w:val="Heading2"/>
        <w:spacing w:after="120"/>
      </w:pPr>
      <w:r>
        <w:lastRenderedPageBreak/>
        <w:t>Reflection Practices</w:t>
      </w:r>
    </w:p>
    <w:p w14:paraId="5EEFA14D" w14:textId="77777777" w:rsidR="00834E21" w:rsidRDefault="00834E2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7"/>
        <w:gridCol w:w="7743"/>
      </w:tblGrid>
      <w:tr w:rsidR="00834E21" w14:paraId="3CE4D404"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60D2B670" w14:textId="77777777" w:rsidR="00834E21" w:rsidRDefault="00000000">
            <w:pPr>
              <w:jc w:val="center"/>
            </w:pPr>
            <w:r>
              <w:rPr>
                <w:rFonts w:ascii="Arial" w:eastAsia="Arial" w:hAnsi="Arial" w:cs="Arial"/>
                <w:b/>
                <w:bCs/>
                <w:color w:val="2E4057"/>
                <w:sz w:val="28"/>
                <w:szCs w:val="28"/>
              </w:rPr>
              <w:t>1</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0EADCED7" w14:textId="77777777" w:rsidR="00834E21" w:rsidRDefault="00000000">
            <w:pPr>
              <w:spacing w:line="300" w:lineRule="auto"/>
              <w:jc w:val="both"/>
            </w:pPr>
            <w:r>
              <w:rPr>
                <w:b/>
                <w:bCs/>
                <w:color w:val="2E4057"/>
                <w:sz w:val="22"/>
                <w:szCs w:val="22"/>
              </w:rPr>
              <w:t xml:space="preserve">Sales Call Simulation and Debrief: Conduct three simulated outbound sales calls with classmates or community contacts who agree to participate, using a scripted scenario provided by your faculty supervisor. </w:t>
            </w:r>
            <w:r>
              <w:rPr>
                <w:color w:val="1A1A1A"/>
                <w:sz w:val="22"/>
                <w:szCs w:val="22"/>
              </w:rPr>
              <w:t>After each call, write a structured reflection analyzing your performance against the seven evaluation factors identified by Pierce et al. (2011).</w:t>
            </w:r>
          </w:p>
        </w:tc>
      </w:tr>
      <w:tr w:rsidR="00834E21" w14:paraId="73057D63"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31A662FD" w14:textId="77777777" w:rsidR="00834E21" w:rsidRDefault="00000000">
            <w:pPr>
              <w:jc w:val="center"/>
            </w:pPr>
            <w:r>
              <w:rPr>
                <w:rFonts w:ascii="Arial" w:eastAsia="Arial" w:hAnsi="Arial" w:cs="Arial"/>
                <w:b/>
                <w:bCs/>
                <w:color w:val="2E4057"/>
                <w:sz w:val="28"/>
                <w:szCs w:val="28"/>
              </w:rPr>
              <w:t>2</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57304CF7" w14:textId="77777777" w:rsidR="00834E21" w:rsidRDefault="00000000">
            <w:pPr>
              <w:spacing w:line="300" w:lineRule="auto"/>
              <w:jc w:val="both"/>
            </w:pPr>
            <w:r>
              <w:rPr>
                <w:b/>
                <w:bCs/>
                <w:color w:val="2E4057"/>
                <w:sz w:val="22"/>
                <w:szCs w:val="22"/>
              </w:rPr>
              <w:t xml:space="preserve">Sponsorship Proposal Development: Identify a local sport organization and a regional business that you believe would benefit from a sponsorship relationship. </w:t>
            </w:r>
            <w:r>
              <w:rPr>
                <w:color w:val="1A1A1A"/>
                <w:sz w:val="22"/>
                <w:szCs w:val="22"/>
              </w:rPr>
              <w:t>Develop a formal sponsorship proposal for the business that includes a needs analysis, a proposed package of sponsorship benefits, an activation strategy, and an evaluation framework. Present the proposal to your class for feedback.</w:t>
            </w:r>
          </w:p>
        </w:tc>
      </w:tr>
      <w:tr w:rsidR="00834E21" w14:paraId="0FCF85AB"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34A8411E" w14:textId="77777777" w:rsidR="00834E21" w:rsidRDefault="00000000">
            <w:pPr>
              <w:jc w:val="center"/>
            </w:pPr>
            <w:r>
              <w:rPr>
                <w:rFonts w:ascii="Arial" w:eastAsia="Arial" w:hAnsi="Arial" w:cs="Arial"/>
                <w:b/>
                <w:bCs/>
                <w:color w:val="2E4057"/>
                <w:sz w:val="28"/>
                <w:szCs w:val="28"/>
              </w:rPr>
              <w:t>3</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35D6E302" w14:textId="77777777" w:rsidR="00834E21" w:rsidRDefault="00000000">
            <w:pPr>
              <w:spacing w:line="300" w:lineRule="auto"/>
              <w:jc w:val="both"/>
            </w:pPr>
            <w:r>
              <w:rPr>
                <w:b/>
                <w:bCs/>
                <w:color w:val="2E4057"/>
                <w:sz w:val="22"/>
                <w:szCs w:val="22"/>
              </w:rPr>
              <w:t xml:space="preserve">CRM System Exploration: Obtain access to a free trial or academic license for a CRM platform (Salesforce offers academic access). </w:t>
            </w:r>
            <w:r>
              <w:rPr>
                <w:color w:val="1A1A1A"/>
                <w:sz w:val="22"/>
                <w:szCs w:val="22"/>
              </w:rPr>
              <w:t>Enter a set of hypothetical prospect records, create an outreach sequence, and generate a basic pipeline report. Write a 300-word reflection on how CRM data management supports more effective and efficient sales operations.</w:t>
            </w:r>
          </w:p>
        </w:tc>
      </w:tr>
      <w:tr w:rsidR="00834E21" w14:paraId="66BFA6BF"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27479E9B" w14:textId="77777777" w:rsidR="00834E21" w:rsidRDefault="00000000">
            <w:pPr>
              <w:jc w:val="center"/>
            </w:pPr>
            <w:r>
              <w:rPr>
                <w:rFonts w:ascii="Arial" w:eastAsia="Arial" w:hAnsi="Arial" w:cs="Arial"/>
                <w:b/>
                <w:bCs/>
                <w:color w:val="2E4057"/>
                <w:sz w:val="28"/>
                <w:szCs w:val="28"/>
              </w:rPr>
              <w:t>4</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019C5D9B" w14:textId="77777777" w:rsidR="00834E21" w:rsidRDefault="00000000">
            <w:pPr>
              <w:spacing w:line="300" w:lineRule="auto"/>
              <w:jc w:val="both"/>
            </w:pPr>
            <w:r>
              <w:rPr>
                <w:b/>
                <w:bCs/>
                <w:color w:val="2E4057"/>
                <w:sz w:val="22"/>
                <w:szCs w:val="22"/>
              </w:rPr>
              <w:t xml:space="preserve">Revenue Stream Analysis: Select a sport organization and construct a comprehensive analysis of its revenue streams based on publicly available information. </w:t>
            </w:r>
            <w:r>
              <w:rPr>
                <w:color w:val="1A1A1A"/>
                <w:sz w:val="22"/>
                <w:szCs w:val="22"/>
              </w:rPr>
              <w:t>Identify which streams are growing, which are declining, and what factors are driving those trends. Propose one specific innovation that the organization could pursue to develop a new revenue stream or improve an existing one.</w:t>
            </w:r>
          </w:p>
        </w:tc>
      </w:tr>
      <w:tr w:rsidR="00834E21" w14:paraId="72509658"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616CEA5E" w14:textId="77777777" w:rsidR="00834E21" w:rsidRDefault="00000000">
            <w:pPr>
              <w:jc w:val="center"/>
            </w:pPr>
            <w:r>
              <w:rPr>
                <w:rFonts w:ascii="Arial" w:eastAsia="Arial" w:hAnsi="Arial" w:cs="Arial"/>
                <w:b/>
                <w:bCs/>
                <w:color w:val="2E4057"/>
                <w:sz w:val="28"/>
                <w:szCs w:val="28"/>
              </w:rPr>
              <w:t>5</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2A67FC8E" w14:textId="77777777" w:rsidR="00834E21" w:rsidRDefault="00000000">
            <w:pPr>
              <w:spacing w:line="300" w:lineRule="auto"/>
              <w:jc w:val="both"/>
            </w:pPr>
            <w:r>
              <w:rPr>
                <w:b/>
                <w:bCs/>
                <w:color w:val="2E4057"/>
                <w:sz w:val="22"/>
                <w:szCs w:val="22"/>
              </w:rPr>
              <w:t xml:space="preserve">Competition Preparation: If your program participates in NCSSC or a similar competition, participate in the preparation process, including practice sales calls and peer feedback sessions. </w:t>
            </w:r>
            <w:r>
              <w:rPr>
                <w:color w:val="1A1A1A"/>
                <w:sz w:val="22"/>
                <w:szCs w:val="22"/>
              </w:rPr>
              <w:t>If no competition is available, organize an in-class competition in which teams compete to sell a hypothetical sponsorship package to a mock corporate client panel composed of faculty and local sport industry professionals.</w:t>
            </w:r>
          </w:p>
        </w:tc>
      </w:tr>
    </w:tbl>
    <w:p w14:paraId="2E444847" w14:textId="77777777" w:rsidR="00834E21" w:rsidRDefault="00000000">
      <w:pPr>
        <w:pStyle w:val="Heading2"/>
        <w:spacing w:after="120"/>
      </w:pPr>
      <w:r>
        <w:t>References</w:t>
      </w:r>
    </w:p>
    <w:p w14:paraId="0C95A20A" w14:textId="77777777" w:rsidR="00834E21" w:rsidRDefault="00000000">
      <w:pPr>
        <w:spacing w:before="60" w:after="60" w:line="320" w:lineRule="auto"/>
        <w:ind w:left="720" w:hanging="720"/>
        <w:jc w:val="both"/>
      </w:pPr>
      <w:proofErr w:type="spellStart"/>
      <w:r>
        <w:rPr>
          <w:sz w:val="22"/>
          <w:szCs w:val="22"/>
        </w:rPr>
        <w:t>Mastromartino</w:t>
      </w:r>
      <w:proofErr w:type="spellEnd"/>
      <w:r>
        <w:rPr>
          <w:sz w:val="22"/>
          <w:szCs w:val="22"/>
        </w:rPr>
        <w:t>, B. (2024). Human capital development in sport marketing: Industry insights. International Journal of Sports Marketing and Sponsorship, 25(3), 620-640. https://doi.org/10.1108/ijsms-11-2023-0238</w:t>
      </w:r>
    </w:p>
    <w:p w14:paraId="63760FBB" w14:textId="77777777" w:rsidR="00834E21" w:rsidRDefault="00000000">
      <w:pPr>
        <w:spacing w:before="60" w:after="60" w:line="320" w:lineRule="auto"/>
        <w:ind w:left="720" w:hanging="720"/>
        <w:jc w:val="both"/>
      </w:pPr>
      <w:r>
        <w:rPr>
          <w:sz w:val="22"/>
          <w:szCs w:val="22"/>
        </w:rPr>
        <w:t>Kim, K. Y., &amp; Drayer, J. (2021). Better together? Examining the impact of official secondary ticketing partnerships on consumers' attitudes and behaviors. Sport Marketing Quarterly, 30(4), 278-288. https://doi.org/10.32731/smq.304.1221.03</w:t>
      </w:r>
    </w:p>
    <w:p w14:paraId="43465851" w14:textId="77777777" w:rsidR="00834E21" w:rsidRDefault="00000000">
      <w:pPr>
        <w:spacing w:before="60" w:after="60" w:line="320" w:lineRule="auto"/>
        <w:ind w:left="720" w:hanging="720"/>
        <w:jc w:val="both"/>
      </w:pPr>
      <w:r>
        <w:rPr>
          <w:sz w:val="22"/>
          <w:szCs w:val="22"/>
        </w:rPr>
        <w:lastRenderedPageBreak/>
        <w:t>O'Reilly, N., Stroebel, T., &amp; Pfahl, M. E. (2018). An empirical exploration of sponsorship sales in North American professional sport. Sport Business and Management, 8(1), 15-34. https://doi.org/10.1108/sbm-07-2016-0035</w:t>
      </w:r>
    </w:p>
    <w:p w14:paraId="7CB6FE07" w14:textId="77777777" w:rsidR="00834E21" w:rsidRDefault="00000000">
      <w:pPr>
        <w:spacing w:before="60" w:after="60" w:line="320" w:lineRule="auto"/>
        <w:ind w:left="720" w:hanging="720"/>
        <w:jc w:val="both"/>
      </w:pPr>
      <w:r>
        <w:rPr>
          <w:sz w:val="22"/>
          <w:szCs w:val="22"/>
        </w:rPr>
        <w:t>Pierce, D. A., Petersen, J., &amp; Meadows, B. J. (2011). Authentic assessment of experiential learning in sport sales. Sport Marketing Quarterly, 20(2), 75-83. https://doi.org/10.1177/106169341102000204</w:t>
      </w:r>
    </w:p>
    <w:p w14:paraId="133C543F" w14:textId="77777777" w:rsidR="00834E21" w:rsidRDefault="00000000">
      <w:pPr>
        <w:spacing w:before="60" w:after="60" w:line="320" w:lineRule="auto"/>
        <w:ind w:left="720" w:hanging="720"/>
        <w:jc w:val="both"/>
      </w:pPr>
      <w:r>
        <w:rPr>
          <w:sz w:val="22"/>
          <w:szCs w:val="22"/>
        </w:rPr>
        <w:t>Popp, N., Jensen, J. A., &amp; McEvoy, C. D. (2020). An examination of the effects of outsourcing ticket sales force management. International Journal of Sports Marketing and Sponsorship, 21(2), 205-223. https://doi.org/10.1108/ijsms-04-2019-0046</w:t>
      </w:r>
    </w:p>
    <w:p w14:paraId="0C78B88D" w14:textId="77777777" w:rsidR="00834E21" w:rsidRDefault="00000000">
      <w:pPr>
        <w:spacing w:before="60" w:after="60" w:line="320" w:lineRule="auto"/>
        <w:ind w:left="720" w:hanging="720"/>
        <w:jc w:val="both"/>
      </w:pPr>
      <w:r>
        <w:rPr>
          <w:sz w:val="22"/>
          <w:szCs w:val="22"/>
        </w:rPr>
        <w:t>Popp, N., Simmons, J., &amp; McEvoy, C. D. (2017). Sport ticket sales training: Perceived effectiveness and impact on ticket sales results. Sport Marketing Quarterly, 26(2), 99-109. https://doi.org/10.1177/106169341702600205</w:t>
      </w:r>
    </w:p>
    <w:p w14:paraId="0E4CAD87" w14:textId="77777777" w:rsidR="00834E21" w:rsidRDefault="00000000">
      <w:pPr>
        <w:spacing w:before="60" w:after="60" w:line="320" w:lineRule="auto"/>
        <w:ind w:left="720" w:hanging="720"/>
        <w:jc w:val="both"/>
      </w:pPr>
      <w:r>
        <w:rPr>
          <w:sz w:val="22"/>
          <w:szCs w:val="22"/>
        </w:rPr>
        <w:t>Schneider, S. K., &amp; George, W. M. (2011). Servant leadership versus transformational leadership in voluntary service organizations. Leadership and Organization Development Journal, 32(1), 60-77. https://doi.org/10.1108/01437731111099283</w:t>
      </w:r>
    </w:p>
    <w:p w14:paraId="2EA9BF47" w14:textId="77777777" w:rsidR="00834E21" w:rsidRDefault="00000000">
      <w:r>
        <w:br w:type="page"/>
      </w:r>
    </w:p>
    <w:p w14:paraId="411BD937" w14:textId="77777777" w:rsidR="00834E21" w:rsidRDefault="00000000">
      <w:pPr>
        <w:pStyle w:val="Heading1"/>
        <w:spacing w:after="120"/>
      </w:pPr>
      <w:r>
        <w:lastRenderedPageBreak/>
        <w:t>Chapter 6: Mega-Events, Sport Tourism, and Event Operations</w:t>
      </w:r>
    </w:p>
    <w:p w14:paraId="6468E553" w14:textId="77777777" w:rsidR="00834E21" w:rsidRDefault="00000000">
      <w:pPr>
        <w:pStyle w:val="Heading2"/>
        <w:spacing w:after="120"/>
      </w:pPr>
      <w:r>
        <w:t>6.1 Understanding Mega-Event Management</w:t>
      </w:r>
    </w:p>
    <w:p w14:paraId="273292E5" w14:textId="77777777" w:rsidR="00834E21" w:rsidRDefault="00000000">
      <w:pPr>
        <w:spacing w:after="160" w:line="360" w:lineRule="auto"/>
        <w:ind w:firstLine="720"/>
        <w:jc w:val="both"/>
      </w:pPr>
      <w:r>
        <w:t>Mega-events are large-scale cultural events with international significance, global media coverage, and transformative effects on host communities. Classic examples include the Olympic Games, the FIFA World Cup, the Super Bowl, the College Football Playoff National Championship, and the NCAA Final Four. These events attract millions of spectators, generate billions of dollars in economic activity, require years of planning and preparation, and demand extraordinary coordination among government agencies, private organizations, and civil society. For sport management professionals, mega-events represent both exceptional career opportunities and formidable organizational and ethical challenges.</w:t>
      </w:r>
    </w:p>
    <w:p w14:paraId="5A3A2AB0" w14:textId="77777777" w:rsidR="00834E21" w:rsidRDefault="00000000">
      <w:pPr>
        <w:spacing w:after="160" w:line="360" w:lineRule="auto"/>
        <w:ind w:firstLine="720"/>
        <w:jc w:val="both"/>
      </w:pPr>
      <w:r>
        <w:t>Kim et al. (2020) studied the perceived impact of hosting the PyeongChang 2018 Winter Olympic Games and found that economic, infrastructure, and tourism impacts positively affected local sustainable development, and that cultural exchange had a positive effect on community attachment. These findings add to a substantial body of research documenting the multidimensional impacts of mega-events on host communities. Graduate students who approach mega-event experiences with a research-informed understanding of these impacts are better equipped to contribute constructively to event planning and management and to critically evaluate the decisions and trade-offs that characterize large-scale event governance.</w:t>
      </w:r>
    </w:p>
    <w:p w14:paraId="0484976E" w14:textId="77777777" w:rsidR="00834E21" w:rsidRDefault="00000000">
      <w:pPr>
        <w:spacing w:after="160" w:line="360" w:lineRule="auto"/>
        <w:ind w:firstLine="720"/>
        <w:jc w:val="both"/>
      </w:pPr>
      <w:r>
        <w:t>The organizational complexity of mega-events demands professionals who can simultaneously manage operational logistics, navigate complex stakeholder relationships, lead large volunteer and staff teams, communicate across cultural and linguistic boundaries, and adapt quickly to unforeseen circumstances. These demands make mega-event participation one of the most accelerated professional development environments available to sport management graduates. Even volunteer positions at major events provide exposure to organizational systems, operational processes, and professional networks that are unavailable in most other contexts.</w:t>
      </w:r>
    </w:p>
    <w:p w14:paraId="077BB950" w14:textId="77777777" w:rsidR="00834E21" w:rsidRDefault="00000000">
      <w:pPr>
        <w:pStyle w:val="Heading2"/>
        <w:spacing w:after="120"/>
      </w:pPr>
      <w:r>
        <w:t>6.2 Economic and Community Impacts</w:t>
      </w:r>
    </w:p>
    <w:p w14:paraId="3080DC53" w14:textId="77777777" w:rsidR="00834E21" w:rsidRDefault="00000000">
      <w:pPr>
        <w:spacing w:after="160" w:line="360" w:lineRule="auto"/>
        <w:ind w:firstLine="720"/>
        <w:jc w:val="both"/>
      </w:pPr>
      <w:r>
        <w:t xml:space="preserve">The economic impacts of sport events have been extensively studied, though the findings are more nuanced and contested than popular narratives often suggest. Raso and Cherubini (2023) </w:t>
      </w:r>
      <w:r>
        <w:lastRenderedPageBreak/>
        <w:t>conducted a systematic review of the literature on sport tourism and regional economic development, finding that sports tourism positively impacts regions by attracting tourists, creating job opportunities, and generating revenue for local businesses, but also emphasizing that proper planning and management are essential to ensure that benefits are maximized and negative impacts are minimized. This conditional conclusion reflects a broader scholarly consensus that positive economic outcomes from sport events are not automatic but depend on the strategic decisions made by host organizations and communities.</w:t>
      </w:r>
    </w:p>
    <w:p w14:paraId="5A9120B6" w14:textId="77777777" w:rsidR="00834E21" w:rsidRDefault="00000000">
      <w:pPr>
        <w:spacing w:after="160" w:line="360" w:lineRule="auto"/>
        <w:ind w:firstLine="720"/>
        <w:jc w:val="both"/>
      </w:pPr>
      <w:r>
        <w:t xml:space="preserve">Taks et al. (2015) made an important distinction between the economic impacts of mega-events and those of non-mega events, noting that non-mega sport events allow for the creation of tighter social networks and connectedness of the local population with the event. This observation suggests that professionals working on events across the scale spectrum contribute to community value in different ways, and that the social and relational dimensions of community impact deserve as much attention as the purely economic dimensions. Sport management graduates who develop expertise in leveraging events for community benefit, a concept associated with the scholarship of Laurence </w:t>
      </w:r>
      <w:proofErr w:type="spellStart"/>
      <w:r>
        <w:t>Chalip</w:t>
      </w:r>
      <w:proofErr w:type="spellEnd"/>
      <w:r>
        <w:t xml:space="preserve"> and his colleagues, are equipped to create more holistic and sustainable event legacies.</w:t>
      </w:r>
    </w:p>
    <w:p w14:paraId="0CA0C7AD" w14:textId="76058A00" w:rsidR="00834E21" w:rsidRDefault="00000000">
      <w:pPr>
        <w:spacing w:after="160" w:line="360" w:lineRule="auto"/>
        <w:ind w:firstLine="720"/>
        <w:jc w:val="both"/>
      </w:pPr>
      <w:proofErr w:type="spellStart"/>
      <w:r>
        <w:t>Pioletti</w:t>
      </w:r>
      <w:proofErr w:type="spellEnd"/>
      <w:r>
        <w:t xml:space="preserve"> (2017) argued that sport tourism could be a driving force for local development, community cohesiveness, economic benefits, social incentives, and positioning localities in the tourism market. For sport management graduates interested in sport tourism and destination marketing, </w:t>
      </w:r>
      <w:proofErr w:type="gramStart"/>
      <w:r>
        <w:t>this framing positions</w:t>
      </w:r>
      <w:proofErr w:type="gramEnd"/>
      <w:r>
        <w:t xml:space="preserve"> sport</w:t>
      </w:r>
      <w:r w:rsidR="00D5035A">
        <w:t>ing</w:t>
      </w:r>
      <w:r>
        <w:t xml:space="preserve"> events not merely as entertainment products but as strategic </w:t>
      </w:r>
      <w:r w:rsidR="00D5035A">
        <w:t xml:space="preserve">tools for </w:t>
      </w:r>
      <w:r>
        <w:t xml:space="preserve">community development. Understanding the organizational infrastructure of sport tourism, including the roles of destination marketing organizations, convention and </w:t>
      </w:r>
      <w:proofErr w:type="gramStart"/>
      <w:r>
        <w:t>visitors</w:t>
      </w:r>
      <w:proofErr w:type="gramEnd"/>
      <w:r>
        <w:t xml:space="preserve"> bureaus, sport commissions, and host committees, is essential for professionals seeking careers in this growing sector.</w:t>
      </w:r>
    </w:p>
    <w:p w14:paraId="0F18FE5C" w14:textId="77777777" w:rsidR="00834E21" w:rsidRDefault="00000000">
      <w:pPr>
        <w:pStyle w:val="Heading2"/>
        <w:spacing w:after="120"/>
      </w:pPr>
      <w:r>
        <w:t>6.3 Event Logistics and Operations</w:t>
      </w:r>
    </w:p>
    <w:p w14:paraId="4CE2BFFA" w14:textId="77777777" w:rsidR="00834E21" w:rsidRDefault="00000000">
      <w:pPr>
        <w:spacing w:after="160" w:line="360" w:lineRule="auto"/>
        <w:ind w:firstLine="720"/>
        <w:jc w:val="both"/>
      </w:pPr>
      <w:r>
        <w:t xml:space="preserve">Event logistics and operations encompass the planning and execution of all physical and procedural elements required to deliver a successful sport event. This includes venue preparation, transportation and parking management, security and crowd control, food and beverage services, technology infrastructure, broadcast support, athlete services, medical and safety protocols, and post-event cleanup and evaluation. Effective event operations require meticulous attention to </w:t>
      </w:r>
      <w:r>
        <w:lastRenderedPageBreak/>
        <w:t>detail, strong project management discipline, the ability to coordinate across multiple teams and vendors simultaneously, and the resilience to solve problems quickly under pressure.</w:t>
      </w:r>
    </w:p>
    <w:p w14:paraId="31EBA845" w14:textId="77777777" w:rsidR="00834E21" w:rsidRDefault="00000000">
      <w:pPr>
        <w:spacing w:after="160" w:line="360" w:lineRule="auto"/>
        <w:ind w:firstLine="720"/>
        <w:jc w:val="both"/>
      </w:pPr>
      <w:r>
        <w:t>Graduate students who pursue event operations applied learning experiences develop a project management orientation that is highly transferable across the sport industry and beyond. The planning tools used in event management, including event run-of-show documents, vendor coordination matrices, staffing plans, contingency protocols, and post-event evaluation frameworks, are direct analogs to the project management tools used across organizational contexts. Students who master these tools in the high-stakes, time-compressed environment of event operations are well prepared to manage complex projects in any professional setting.</w:t>
      </w:r>
    </w:p>
    <w:p w14:paraId="38A33FBA" w14:textId="77777777" w:rsidR="00834E21" w:rsidRDefault="00000000">
      <w:pPr>
        <w:spacing w:after="160" w:line="360" w:lineRule="auto"/>
        <w:ind w:firstLine="720"/>
        <w:jc w:val="both"/>
      </w:pPr>
      <w:r>
        <w:t>Taks et al. (2015) noted that non-mega sport events typically rely on the limited-size local community to comprise its voluntary workforce and emphasized the multirole nature of volunteer activities within a small-scale event. This observation is directly relevant to sport management graduates who frequently serve as volunteer coordinators or event staff in community sport events, where the ability to recruit, train, deploy, and recognize a volunteer workforce is a critical operational competency. Well-managed volunteer programs not only support event operations but build community social capital and create pathways for volunteers to develop deeper engagement with the hosting organization.</w:t>
      </w:r>
    </w:p>
    <w:p w14:paraId="69D0822F" w14:textId="77777777" w:rsidR="00834E21" w:rsidRDefault="00000000">
      <w:pPr>
        <w:pStyle w:val="Heading2"/>
        <w:spacing w:after="120"/>
      </w:pPr>
      <w:r>
        <w:t>6.4 Volunteer Coordination</w:t>
      </w:r>
    </w:p>
    <w:p w14:paraId="7F1F2714" w14:textId="77777777" w:rsidR="00834E21" w:rsidRDefault="00000000">
      <w:pPr>
        <w:spacing w:after="160" w:line="360" w:lineRule="auto"/>
        <w:ind w:firstLine="720"/>
        <w:jc w:val="both"/>
      </w:pPr>
      <w:r>
        <w:t>Volunteer management is one of the most operationally consequential and professionally demanding dimensions of sport event management. Major sport events rely on hundreds or thousands of volunteers to deliver essential services across a wide range of functions, including spectator services, athlete services, media operations, transportation, venue management, and community programming. The quality of volunteer training, supervision, recognition, and retention directly affects the quality of the event experience for athletes, spectators, media, and sponsors.</w:t>
      </w:r>
    </w:p>
    <w:p w14:paraId="692B1A95" w14:textId="77777777" w:rsidR="00834E21" w:rsidRDefault="00000000">
      <w:pPr>
        <w:spacing w:after="160" w:line="360" w:lineRule="auto"/>
        <w:ind w:firstLine="720"/>
        <w:jc w:val="both"/>
      </w:pPr>
      <w:r>
        <w:t xml:space="preserve">Effective volunteer management requires competencies in recruitment and selection, training design and delivery, role assignment and supervision, interpersonal communication, problem-solving, and volunteer recognition and retention. Graduate students who develop these competencies in applied settings gain skills that are broadly valued in event management, nonprofit </w:t>
      </w:r>
      <w:r>
        <w:lastRenderedPageBreak/>
        <w:t>administration, and community development careers. The human relations dimensions of volunteer management, including motivating and retaining unpaid workers who have diverse motivations for participation, also develop interpersonal and leadership competencies that are transferable to paid staff management.</w:t>
      </w:r>
    </w:p>
    <w:p w14:paraId="35A7AAC2" w14:textId="77777777" w:rsidR="00834E21" w:rsidRDefault="00000000">
      <w:pPr>
        <w:spacing w:after="160" w:line="360" w:lineRule="auto"/>
        <w:ind w:firstLine="720"/>
        <w:jc w:val="both"/>
      </w:pPr>
      <w:r>
        <w:t>Schneider and George (2011) found that servant leadership was more effective than transformational leadership in voluntary organizations, particularly in predicting member commitment, satisfaction, and retention. This finding is directly applicable to volunteer management in sport events, suggesting that volunteer coordinators who prioritize the satisfaction, development, and wellbeing of their volunteers, rather than focusing exclusively on operational performance, build more committed and capable volunteer teams. Graduate students who approach volunteer leadership with this orientation will produce better operational outcomes and create more positive experiences for the volunteers whose contributions make events possible.</w:t>
      </w:r>
    </w:p>
    <w:p w14:paraId="7C4EAC24"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2BC238B8"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712ECED8"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When the Plan Falls Apart</w:t>
            </w:r>
          </w:p>
        </w:tc>
      </w:tr>
      <w:tr w:rsidR="00834E21" w14:paraId="7D6419E2"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5506B53F" w14:textId="77777777" w:rsidR="00834E21" w:rsidRDefault="00000000">
            <w:pPr>
              <w:spacing w:line="320" w:lineRule="auto"/>
              <w:jc w:val="both"/>
            </w:pPr>
            <w:r>
              <w:rPr>
                <w:color w:val="1A1A1A"/>
                <w:sz w:val="22"/>
                <w:szCs w:val="22"/>
              </w:rPr>
              <w:t>A director of event operations for a major college football conference championship described the moment her contingency planning saved a major event: We had a severe weather system move in about 90 minutes before kickoff. We had a weather response protocol, we had trained our staff on it twice, and when the moment came, everyone knew exactly what to do. Seventeen thousand fans were moved safely to shelter areas in under 20 minutes. Without that plan, it would have been chaos. This practitioner experience captures the operational reality of event management: the quality of your preparation is most visible precisely when things go wrong. Kim et al. (2020) documented that the perceived positive impacts of mega-events on host communities are contingent on effective governance and risk management. Whether the event is a regional championship or an Olympic Games, the practitioner who brings rigorous contingency planning to every assignment is the one who earns the trust and advancement that follow successful event delivery.</w:t>
            </w:r>
          </w:p>
        </w:tc>
      </w:tr>
    </w:tbl>
    <w:p w14:paraId="0441F7CE" w14:textId="77777777" w:rsidR="00834E21" w:rsidRDefault="00834E21">
      <w:pPr>
        <w:spacing w:before="200"/>
      </w:pPr>
    </w:p>
    <w:p w14:paraId="71CC4152" w14:textId="77777777" w:rsidR="00834E21" w:rsidRDefault="00000000">
      <w:pPr>
        <w:pStyle w:val="Heading2"/>
        <w:spacing w:after="120"/>
      </w:pPr>
      <w:r>
        <w:t>6.5 Crisis Management and Contingency Planning</w:t>
      </w:r>
    </w:p>
    <w:p w14:paraId="43F2DC6D" w14:textId="77777777" w:rsidR="00834E21" w:rsidRDefault="00000000">
      <w:pPr>
        <w:spacing w:after="160" w:line="360" w:lineRule="auto"/>
        <w:ind w:firstLine="720"/>
        <w:jc w:val="both"/>
      </w:pPr>
      <w:r>
        <w:t xml:space="preserve">Every major sport event faces the possibility of unforeseen disruptions, from severe weather and medical emergencies to security threats, equipment failures, and natural disasters. Crisis management and contingency planning represent essential competencies for event management professionals, requiring the ability to anticipate risks, develop response protocols, </w:t>
      </w:r>
      <w:r>
        <w:lastRenderedPageBreak/>
        <w:t>conduct staff training, coordinate with emergency services, and communicate effectively with all event stakeholders during and after disruptive incidents.</w:t>
      </w:r>
    </w:p>
    <w:p w14:paraId="56FF222E" w14:textId="77777777" w:rsidR="00834E21" w:rsidRDefault="00000000">
      <w:pPr>
        <w:spacing w:after="160" w:line="360" w:lineRule="auto"/>
        <w:ind w:firstLine="720"/>
        <w:jc w:val="both"/>
      </w:pPr>
      <w:r>
        <w:t>Graduate students who develop crisis management competencies through applied learning experiences in event settings are prepared not only for the operational demands of event management careers but for the broader organizational leadership challenges that arise in any professional context where complexity and uncertainty are constant. Kim et al. (2020) noted that mega-sporting events provide potential benefits for host communities and regions, but this potential is contingent on effective governance and risk management that protects the safety and wellbeing of all participants.</w:t>
      </w:r>
    </w:p>
    <w:p w14:paraId="14CF1DB9" w14:textId="77777777" w:rsidR="00834E21" w:rsidRDefault="00000000">
      <w:pPr>
        <w:spacing w:after="160" w:line="360" w:lineRule="auto"/>
        <w:ind w:firstLine="720"/>
        <w:jc w:val="both"/>
      </w:pPr>
      <w:r>
        <w:t>Contingency planning in sport event management involves developing specific response protocols for the most likely and most consequential risk scenarios, training staff and volunteers to execute those protocols, and conducting regular tabletop exercises that simulate crisis conditions. Graduate students who participate in these planning and training activities develop analytical, communication, and decision-making skills that are broadly applicable. The ability to remain calm and effective under pressure, which is both cultivated and tested in crisis management contexts, is one of the most valued competencies in senior sport management positions.</w:t>
      </w:r>
    </w:p>
    <w:p w14:paraId="68B401F8" w14:textId="77777777" w:rsidR="00834E21" w:rsidRDefault="00000000">
      <w:pPr>
        <w:pStyle w:val="Heading2"/>
        <w:spacing w:after="120"/>
      </w:pPr>
      <w:r>
        <w:t>6.6 Fan Experience and Hospitality</w:t>
      </w:r>
    </w:p>
    <w:p w14:paraId="5CBC7709" w14:textId="77777777" w:rsidR="00834E21" w:rsidRDefault="00000000">
      <w:pPr>
        <w:spacing w:after="160" w:line="360" w:lineRule="auto"/>
        <w:ind w:firstLine="720"/>
        <w:jc w:val="both"/>
      </w:pPr>
      <w:r>
        <w:t>Fan experience management has emerged as a central strategic concern for sport organizations at every level as the competition for entertainment time and dollars has intensified. The in-person sport event experience encompasses pre-event programming, arrival and entry, in-venue amenities and entertainment, food and beverage quality, digital engagement tools, half-time and between-period entertainment, post-event programming, and the overall sensory environment of the venue. Each of these elements is a potential differentiator that can drive attendance, loyalty, premium product sales, and positive word-of-mouth.</w:t>
      </w:r>
    </w:p>
    <w:p w14:paraId="452F7C58" w14:textId="77777777" w:rsidR="00834E21" w:rsidRDefault="00000000">
      <w:pPr>
        <w:spacing w:after="160" w:line="360" w:lineRule="auto"/>
        <w:ind w:firstLine="720"/>
        <w:jc w:val="both"/>
      </w:pPr>
      <w:r>
        <w:t xml:space="preserve">Raso and Cherubini (2023) noted that sport tourism positively impacts regions partly through its ability to attract tourists who generate revenue for local businesses, and that this impact extends well beyond the venue to encompass the surrounding community. This observation suggests that fan experience management has implications not only for in-venue revenue but for the broader economic vitality of host communities. Sport management graduates who develop </w:t>
      </w:r>
      <w:r>
        <w:lastRenderedPageBreak/>
        <w:t>expertise in fan experience can contribute to both organizational and community outcomes through their professional work.</w:t>
      </w:r>
    </w:p>
    <w:p w14:paraId="49C22146" w14:textId="77777777" w:rsidR="00834E21" w:rsidRDefault="00000000">
      <w:pPr>
        <w:spacing w:after="160" w:line="360" w:lineRule="auto"/>
        <w:ind w:firstLine="720"/>
        <w:jc w:val="both"/>
      </w:pPr>
      <w:r>
        <w:t>Graduate students who pursue applied learning in fan experience roles develop competencies in consumer behavior analysis, entertainment programming, brand experience design, digital engagement strategy, and service quality management. These competencies are directly transferable to careers in sport marketing, event management, venue operations, and hospitality management. The experiential nature of fan experience work, where the quality of the product is assessed in real time by thousands of consumers, makes it one of the most immediate and visceral feedback environments available to developing professionals.</w:t>
      </w:r>
    </w:p>
    <w:p w14:paraId="37834416" w14:textId="77777777" w:rsidR="00834E21" w:rsidRDefault="00000000">
      <w:pPr>
        <w:spacing w:after="160" w:line="360" w:lineRule="auto"/>
        <w:ind w:firstLine="720"/>
        <w:jc w:val="both"/>
      </w:pPr>
      <w:r>
        <w:t>The intersection of sport event management and sustainability has become an increasingly prominent professional concern as host organizations, governing bodies, and corporate partners face growing pressure to demonstrate environmental responsibility. Major events including the FIFA World Cup, the Olympic Games, and college football bowl games have all implemented sustainability initiatives addressing carbon footprint, waste reduction, water management, and supply chain practices. Graduate students pursuing event management careers will increasingly be expected to integrate sustainability thinking into operational planning, vendor selection, and post-event reporting.</w:t>
      </w:r>
    </w:p>
    <w:p w14:paraId="41D7C8AC" w14:textId="77777777" w:rsidR="00834E21" w:rsidRDefault="00000000">
      <w:pPr>
        <w:spacing w:after="160" w:line="360" w:lineRule="auto"/>
        <w:ind w:firstLine="720"/>
        <w:jc w:val="both"/>
      </w:pPr>
      <w:r>
        <w:t>The role of technology in sport event operations has expanded dramatically, with venue management systems, fan experience apps, RFID ticketing, cashless payment infrastructure, real-time crowd analytics, and integrated security monitoring all becoming standard features of major event environments. Graduate students who develop operational familiarity with these systems during applied learning experiences will be meaningfully better prepared to contribute to event operations teams than those with exclusively theoretical knowledge of event management principles. Many convention centers, arenas, and stadium management companies offer student internship and volunteer opportunities specifically designed to provide exposure to these operational technologies, and graduate students should actively seek such opportunities as part of their applied learning portfolio.</w:t>
      </w:r>
    </w:p>
    <w:p w14:paraId="1037A29D" w14:textId="77777777" w:rsidR="00D5035A" w:rsidRDefault="00D5035A">
      <w:pPr>
        <w:spacing w:after="160" w:line="360" w:lineRule="auto"/>
        <w:ind w:firstLine="720"/>
        <w:jc w:val="both"/>
      </w:pPr>
    </w:p>
    <w:p w14:paraId="026A6B92" w14:textId="77777777" w:rsidR="00D5035A" w:rsidRDefault="00D5035A">
      <w:pPr>
        <w:spacing w:after="160" w:line="360" w:lineRule="auto"/>
        <w:ind w:firstLine="720"/>
        <w:jc w:val="both"/>
      </w:pPr>
    </w:p>
    <w:p w14:paraId="0E3A4FAB" w14:textId="77777777" w:rsidR="00834E21" w:rsidRDefault="00000000">
      <w:pPr>
        <w:pStyle w:val="Heading2"/>
        <w:spacing w:after="120"/>
      </w:pPr>
      <w:r>
        <w:lastRenderedPageBreak/>
        <w:t>6.7 Community and Tourism Organizations</w:t>
      </w:r>
    </w:p>
    <w:p w14:paraId="6E0F1D26" w14:textId="77777777" w:rsidR="00834E21" w:rsidRDefault="00000000">
      <w:pPr>
        <w:spacing w:after="160" w:line="360" w:lineRule="auto"/>
        <w:ind w:firstLine="720"/>
        <w:jc w:val="both"/>
      </w:pPr>
      <w:r>
        <w:t xml:space="preserve">Sport commissions, destination marketing organizations (DMOs), and convention and </w:t>
      </w:r>
      <w:proofErr w:type="gramStart"/>
      <w:r>
        <w:t>visitors</w:t>
      </w:r>
      <w:proofErr w:type="gramEnd"/>
      <w:r>
        <w:t xml:space="preserve"> bureaus (CVBs) represent an important organizational ecosystem that connects the sport event industry with the broader tourism and economic development sectors. These organizations play a critical role in attracting, hosting, and leveraging sport events for community benefit, serving as the interface between event organizers, local government, hospitality businesses, and community stakeholders. For sport management graduates, careers in these organizations offer a distinctive combination of sport event management, destination marketing, and community development responsibilities.</w:t>
      </w:r>
    </w:p>
    <w:p w14:paraId="54DE2653" w14:textId="77777777" w:rsidR="00834E21" w:rsidRDefault="00000000">
      <w:pPr>
        <w:spacing w:after="160" w:line="360" w:lineRule="auto"/>
        <w:ind w:firstLine="720"/>
        <w:jc w:val="both"/>
      </w:pPr>
      <w:proofErr w:type="spellStart"/>
      <w:r>
        <w:t>Pioletti</w:t>
      </w:r>
      <w:proofErr w:type="spellEnd"/>
      <w:r>
        <w:t xml:space="preserve"> (2017) argued that the global competition between cities and territories for hosting mega-events testifies to the role that sport events play as opportunities for territorial regeneration and improvement of the place image. Sport commissions and DMOs are the organizational agents through which this competition is conducted, developing bid proposals, managing relationships with governing bodies of major events, coordinating the infrastructure investments required to host events, and designing the hospitality and tourism programs that maximize visitor spending and community exposure. Graduate students who develop knowledge of this organizational ecosystem are positioned to pursue careers in sport tourism that offer meaningful community impact alongside professional challenge and growth.</w:t>
      </w:r>
    </w:p>
    <w:p w14:paraId="6971312A" w14:textId="4E3B9D39" w:rsidR="00834E21" w:rsidRDefault="00000000">
      <w:pPr>
        <w:spacing w:after="160" w:line="360" w:lineRule="auto"/>
        <w:ind w:firstLine="720"/>
        <w:jc w:val="both"/>
      </w:pPr>
      <w:r>
        <w:t xml:space="preserve">Taks et al. (2015) emphasized that the ability of local businesses to engage with a regional sport event is critical to the economic contribution to the community, as well as to the continued success of the event. This observation underscores the importance of the community relations function within sport event management, where </w:t>
      </w:r>
      <w:r w:rsidR="00D5035A">
        <w:t>cultivating</w:t>
      </w:r>
      <w:r>
        <w:t xml:space="preserve"> productive relationships between event organizations and local business communities requires the same relationship management, communication, and strategic thinking competencies valued in corporate partnership and sponsorship roles.</w:t>
      </w:r>
    </w:p>
    <w:p w14:paraId="3743E491" w14:textId="635DCA53" w:rsidR="00834E21" w:rsidRDefault="00000000">
      <w:pPr>
        <w:pStyle w:val="Heading2"/>
        <w:spacing w:after="120"/>
      </w:pPr>
      <w:r>
        <w:t>Discussion Questions</w:t>
      </w:r>
    </w:p>
    <w:p w14:paraId="42A467B1" w14:textId="77777777" w:rsidR="00834E21" w:rsidRDefault="00000000">
      <w:pPr>
        <w:spacing w:before="100" w:after="60" w:line="320" w:lineRule="auto"/>
        <w:ind w:left="720" w:hanging="360"/>
        <w:jc w:val="both"/>
      </w:pPr>
      <w:r>
        <w:rPr>
          <w:b/>
          <w:bCs/>
          <w:sz w:val="22"/>
          <w:szCs w:val="22"/>
        </w:rPr>
        <w:t xml:space="preserve">1. </w:t>
      </w:r>
      <w:r>
        <w:rPr>
          <w:sz w:val="22"/>
          <w:szCs w:val="22"/>
        </w:rPr>
        <w:t xml:space="preserve">Kim et al. (2020) found that the perceived impacts of a mega-event on local sustainable development and community attachment varied significantly by type of impact (economic, infrastructure, tourism, cultural). If you were advising a city government considering a bid to host a major sport </w:t>
      </w:r>
      <w:r>
        <w:rPr>
          <w:sz w:val="22"/>
          <w:szCs w:val="22"/>
        </w:rPr>
        <w:lastRenderedPageBreak/>
        <w:t>championship, how would you construct a comprehensive impact assessment framework that captured all four impact dimensions?</w:t>
      </w:r>
    </w:p>
    <w:p w14:paraId="382AC30C" w14:textId="77777777" w:rsidR="00834E21" w:rsidRDefault="00000000">
      <w:pPr>
        <w:spacing w:before="100" w:after="60" w:line="320" w:lineRule="auto"/>
        <w:ind w:left="720" w:hanging="360"/>
        <w:jc w:val="both"/>
      </w:pPr>
      <w:r>
        <w:rPr>
          <w:b/>
          <w:bCs/>
          <w:sz w:val="22"/>
          <w:szCs w:val="22"/>
        </w:rPr>
        <w:t xml:space="preserve">2. </w:t>
      </w:r>
      <w:r>
        <w:rPr>
          <w:sz w:val="22"/>
          <w:szCs w:val="22"/>
        </w:rPr>
        <w:t>Taks et al. (2015) argued that non-mega sport events may produce more positive community outcomes than mega-events because of tighter social networks and reduced social disruption. How should sport commissions and DMOs balance their strategic investment between pursuing mega-event bids and developing a sustained portfolio of smaller, community-embedded events?</w:t>
      </w:r>
    </w:p>
    <w:p w14:paraId="5B8983B7" w14:textId="77777777" w:rsidR="00834E21" w:rsidRDefault="00000000">
      <w:pPr>
        <w:spacing w:before="100" w:after="60" w:line="320" w:lineRule="auto"/>
        <w:ind w:left="720" w:hanging="360"/>
        <w:jc w:val="both"/>
      </w:pPr>
      <w:r>
        <w:rPr>
          <w:b/>
          <w:bCs/>
          <w:sz w:val="22"/>
          <w:szCs w:val="22"/>
        </w:rPr>
        <w:t xml:space="preserve">3. </w:t>
      </w:r>
      <w:r>
        <w:rPr>
          <w:sz w:val="22"/>
          <w:szCs w:val="22"/>
        </w:rPr>
        <w:t>Crisis management requires both pre-event preparation and real-time decision-making under pressure. Identify a specific crisis scenario relevant to a major sport event (such as a severe weather event, a medical emergency, or a security threat) and develop a comprehensive response protocol addressing prevention, immediate response, communication, and post-crisis evaluation.</w:t>
      </w:r>
    </w:p>
    <w:p w14:paraId="458EF3F3" w14:textId="77777777" w:rsidR="00834E21" w:rsidRDefault="00000000">
      <w:pPr>
        <w:spacing w:before="100" w:after="60" w:line="320" w:lineRule="auto"/>
        <w:ind w:left="720" w:hanging="360"/>
        <w:jc w:val="both"/>
      </w:pPr>
      <w:r>
        <w:rPr>
          <w:b/>
          <w:bCs/>
          <w:sz w:val="22"/>
          <w:szCs w:val="22"/>
        </w:rPr>
        <w:t xml:space="preserve">4. </w:t>
      </w:r>
      <w:r>
        <w:rPr>
          <w:sz w:val="22"/>
          <w:szCs w:val="22"/>
        </w:rPr>
        <w:t>Schneider and George (2011) found that servant leadership was more effective than transformational leadership in voluntary organizations. Drawing on this research, articulate a specific volunteer management philosophy you would implement as an event volunteer coordinator, including your approach to recruitment, orientation, supervision, problem resolution, and recognition.</w:t>
      </w:r>
    </w:p>
    <w:p w14:paraId="18317D68" w14:textId="77777777" w:rsidR="00834E21" w:rsidRDefault="00000000">
      <w:pPr>
        <w:spacing w:before="100" w:after="60" w:line="320" w:lineRule="auto"/>
        <w:ind w:left="720" w:hanging="360"/>
        <w:jc w:val="both"/>
      </w:pPr>
      <w:r>
        <w:rPr>
          <w:b/>
          <w:bCs/>
          <w:sz w:val="22"/>
          <w:szCs w:val="22"/>
        </w:rPr>
        <w:t xml:space="preserve">5. </w:t>
      </w:r>
      <w:r>
        <w:rPr>
          <w:sz w:val="22"/>
          <w:szCs w:val="22"/>
        </w:rPr>
        <w:t>Raso and Cherubini (2023) found that both small-scale and major sport events can potentially contribute to regional economic development. What are the conditions under which a small-scale sport event is more likely to achieve positive economic outcomes than a mega-event? What role can sport management professionals play in creating those conditions?</w:t>
      </w:r>
    </w:p>
    <w:p w14:paraId="757C3B6F" w14:textId="77777777" w:rsidR="00834E21" w:rsidRDefault="00000000">
      <w:pPr>
        <w:pStyle w:val="Heading2"/>
        <w:spacing w:after="120"/>
      </w:pPr>
      <w:r>
        <w:t>Reflection Practices</w:t>
      </w:r>
    </w:p>
    <w:p w14:paraId="3A010E15" w14:textId="77777777" w:rsidR="00834E21" w:rsidRDefault="00834E2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7"/>
        <w:gridCol w:w="7743"/>
      </w:tblGrid>
      <w:tr w:rsidR="00834E21" w14:paraId="5132F42C"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0E3B24A9" w14:textId="77777777" w:rsidR="00834E21" w:rsidRDefault="00000000">
            <w:pPr>
              <w:jc w:val="center"/>
            </w:pPr>
            <w:r>
              <w:rPr>
                <w:rFonts w:ascii="Arial" w:eastAsia="Arial" w:hAnsi="Arial" w:cs="Arial"/>
                <w:b/>
                <w:bCs/>
                <w:color w:val="2E4057"/>
                <w:sz w:val="28"/>
                <w:szCs w:val="28"/>
              </w:rPr>
              <w:t>1</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0DFA2A3C" w14:textId="77777777" w:rsidR="00834E21" w:rsidRDefault="00000000">
            <w:pPr>
              <w:spacing w:line="300" w:lineRule="auto"/>
              <w:jc w:val="both"/>
            </w:pPr>
            <w:r>
              <w:rPr>
                <w:b/>
                <w:bCs/>
                <w:color w:val="2E4057"/>
                <w:sz w:val="22"/>
                <w:szCs w:val="22"/>
              </w:rPr>
              <w:t xml:space="preserve">Event Operations Plan: Develop a comprehensive event operations plan for a hypothetical mid-size sport event in your region, such as a regional collegiate athletic championship or a community road race. </w:t>
            </w:r>
            <w:r>
              <w:rPr>
                <w:color w:val="1A1A1A"/>
                <w:sz w:val="22"/>
                <w:szCs w:val="22"/>
              </w:rPr>
              <w:t>The plan should include a production timeline, a staffing and volunteer plan, a vendor coordination matrix, a technology and equipment checklist, a fan experience program outline, and a crisis response protocol for at least three risk scenarios.</w:t>
            </w:r>
          </w:p>
        </w:tc>
      </w:tr>
      <w:tr w:rsidR="00834E21" w14:paraId="2C806E67"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2ACE148D" w14:textId="77777777" w:rsidR="00834E21" w:rsidRDefault="00000000">
            <w:pPr>
              <w:jc w:val="center"/>
            </w:pPr>
            <w:r>
              <w:rPr>
                <w:rFonts w:ascii="Arial" w:eastAsia="Arial" w:hAnsi="Arial" w:cs="Arial"/>
                <w:b/>
                <w:bCs/>
                <w:color w:val="2E4057"/>
                <w:sz w:val="28"/>
                <w:szCs w:val="28"/>
              </w:rPr>
              <w:t>2</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3EF73386" w14:textId="77777777" w:rsidR="00834E21" w:rsidRDefault="00000000">
            <w:pPr>
              <w:spacing w:line="300" w:lineRule="auto"/>
              <w:jc w:val="both"/>
            </w:pPr>
            <w:r>
              <w:rPr>
                <w:b/>
                <w:bCs/>
                <w:color w:val="2E4057"/>
                <w:sz w:val="22"/>
                <w:szCs w:val="22"/>
              </w:rPr>
              <w:t xml:space="preserve">Mega-Event Impact Analysis: Select a recent major sport event that was hosted in the United States and conduct a comprehensive impact analysis using publicly available data. </w:t>
            </w:r>
            <w:r>
              <w:rPr>
                <w:color w:val="1A1A1A"/>
                <w:sz w:val="22"/>
                <w:szCs w:val="22"/>
              </w:rPr>
              <w:t>Address economic, social, tourism, infrastructure, and environmental dimensions. Write a 1,000-word analysis that evaluates the event's legacy, identifying both positive outcomes and missed opportunities.</w:t>
            </w:r>
          </w:p>
        </w:tc>
      </w:tr>
      <w:tr w:rsidR="00834E21" w14:paraId="6FCCABEF"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56182D46" w14:textId="77777777" w:rsidR="00834E21" w:rsidRDefault="00000000">
            <w:pPr>
              <w:jc w:val="center"/>
            </w:pPr>
            <w:r>
              <w:rPr>
                <w:rFonts w:ascii="Arial" w:eastAsia="Arial" w:hAnsi="Arial" w:cs="Arial"/>
                <w:b/>
                <w:bCs/>
                <w:color w:val="2E4057"/>
                <w:sz w:val="28"/>
                <w:szCs w:val="28"/>
              </w:rPr>
              <w:t>3</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788DB7AF" w14:textId="77777777" w:rsidR="00834E21" w:rsidRDefault="00000000">
            <w:pPr>
              <w:spacing w:line="300" w:lineRule="auto"/>
              <w:jc w:val="both"/>
            </w:pPr>
            <w:r>
              <w:rPr>
                <w:b/>
                <w:bCs/>
                <w:color w:val="2E4057"/>
                <w:sz w:val="22"/>
                <w:szCs w:val="22"/>
              </w:rPr>
              <w:t xml:space="preserve">Event Volunteer Experience: Volunteer for a sport event in your community, taking on at least one shift of four hours or more. </w:t>
            </w:r>
            <w:r>
              <w:rPr>
                <w:color w:val="1A1A1A"/>
                <w:sz w:val="22"/>
                <w:szCs w:val="22"/>
              </w:rPr>
              <w:t xml:space="preserve">Write a structured reflection addressing your role, the organizational systems you observed, the leadership </w:t>
            </w:r>
            <w:r>
              <w:rPr>
                <w:color w:val="1A1A1A"/>
                <w:sz w:val="22"/>
                <w:szCs w:val="22"/>
              </w:rPr>
              <w:lastRenderedPageBreak/>
              <w:t>behaviors of event staff, the fan experience quality, and the specific applied learning you extracted from the experience.</w:t>
            </w:r>
          </w:p>
        </w:tc>
      </w:tr>
      <w:tr w:rsidR="00834E21" w14:paraId="2F898D53"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19ECD74E" w14:textId="77777777" w:rsidR="00834E21" w:rsidRDefault="00000000">
            <w:pPr>
              <w:jc w:val="center"/>
            </w:pPr>
            <w:r>
              <w:rPr>
                <w:rFonts w:ascii="Arial" w:eastAsia="Arial" w:hAnsi="Arial" w:cs="Arial"/>
                <w:b/>
                <w:bCs/>
                <w:color w:val="2E4057"/>
                <w:sz w:val="28"/>
                <w:szCs w:val="28"/>
              </w:rPr>
              <w:lastRenderedPageBreak/>
              <w:t>4</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2E0C78F8" w14:textId="77777777" w:rsidR="00834E21" w:rsidRDefault="00000000">
            <w:pPr>
              <w:spacing w:line="300" w:lineRule="auto"/>
              <w:jc w:val="both"/>
            </w:pPr>
            <w:r>
              <w:rPr>
                <w:b/>
                <w:bCs/>
                <w:color w:val="2E4057"/>
                <w:sz w:val="22"/>
                <w:szCs w:val="22"/>
              </w:rPr>
              <w:t xml:space="preserve">Sport Commission Research Brief: Research the sport commission or DMO in your region and write a 500-word brief describing its organizational mission, funding model, recent event portfolio, professional staff structure, and key professional development opportunities for sport management graduates. </w:t>
            </w:r>
            <w:r>
              <w:rPr>
                <w:color w:val="1A1A1A"/>
                <w:sz w:val="22"/>
                <w:szCs w:val="22"/>
              </w:rPr>
              <w:t>Identify one professional you would like to contact for an informational interview and draft an outreach message.</w:t>
            </w:r>
          </w:p>
        </w:tc>
      </w:tr>
      <w:tr w:rsidR="00834E21" w14:paraId="7C8BE7BA"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4AFF6AB7" w14:textId="77777777" w:rsidR="00834E21" w:rsidRDefault="00000000">
            <w:pPr>
              <w:jc w:val="center"/>
            </w:pPr>
            <w:r>
              <w:rPr>
                <w:rFonts w:ascii="Arial" w:eastAsia="Arial" w:hAnsi="Arial" w:cs="Arial"/>
                <w:b/>
                <w:bCs/>
                <w:color w:val="2E4057"/>
                <w:sz w:val="28"/>
                <w:szCs w:val="28"/>
              </w:rPr>
              <w:t>5</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43ADC5D9" w14:textId="77777777" w:rsidR="00834E21" w:rsidRDefault="00000000">
            <w:pPr>
              <w:spacing w:line="300" w:lineRule="auto"/>
              <w:jc w:val="both"/>
            </w:pPr>
            <w:r>
              <w:rPr>
                <w:b/>
                <w:bCs/>
                <w:color w:val="2E4057"/>
                <w:sz w:val="22"/>
                <w:szCs w:val="22"/>
              </w:rPr>
              <w:t xml:space="preserve">Hospitality and Fan Experience Audit: Attend an athletic event at a local university or professional sport organization with an intentional focus on fan experience quality. </w:t>
            </w:r>
            <w:r>
              <w:rPr>
                <w:color w:val="1A1A1A"/>
                <w:sz w:val="22"/>
                <w:szCs w:val="22"/>
              </w:rPr>
              <w:t>Using a structured observation guide that addresses arrival and entry, in-venue amenities, digital engagement, entertainment programming, food and beverage quality, and post-event programming, complete a detailed audit and write a 600-word evaluation with specific recommendations for improvement.</w:t>
            </w:r>
          </w:p>
        </w:tc>
      </w:tr>
    </w:tbl>
    <w:p w14:paraId="1E45B8DE" w14:textId="77777777" w:rsidR="00834E21" w:rsidRDefault="00834E21">
      <w:pPr>
        <w:spacing w:before="240"/>
      </w:pPr>
    </w:p>
    <w:p w14:paraId="55521477" w14:textId="77777777" w:rsidR="00834E21" w:rsidRDefault="00000000">
      <w:pPr>
        <w:pStyle w:val="Heading2"/>
        <w:spacing w:after="120"/>
      </w:pPr>
      <w:r>
        <w:t>References</w:t>
      </w:r>
    </w:p>
    <w:p w14:paraId="48E80102" w14:textId="77777777" w:rsidR="00834E21" w:rsidRDefault="00000000">
      <w:pPr>
        <w:spacing w:before="60" w:after="60" w:line="320" w:lineRule="auto"/>
        <w:ind w:left="720" w:hanging="720"/>
        <w:jc w:val="both"/>
      </w:pPr>
      <w:r>
        <w:rPr>
          <w:sz w:val="22"/>
          <w:szCs w:val="22"/>
        </w:rPr>
        <w:t>Kim, M., Park, S., &amp; Kim, S. H. (2020). The perceived impact of hosting mega-sports events in a developing region: The case of the PyeongChang 2018 Winter Olympic Games. Current Issues in Tourism, 24(20), 2843-2848. https://doi.org/10.1080/13683500.2020.1850652</w:t>
      </w:r>
    </w:p>
    <w:p w14:paraId="077B7329" w14:textId="77777777" w:rsidR="00834E21" w:rsidRDefault="00000000">
      <w:pPr>
        <w:spacing w:before="60" w:after="60" w:line="320" w:lineRule="auto"/>
        <w:ind w:left="720" w:hanging="720"/>
        <w:jc w:val="both"/>
      </w:pPr>
      <w:r>
        <w:rPr>
          <w:sz w:val="22"/>
          <w:szCs w:val="22"/>
        </w:rPr>
        <w:t xml:space="preserve">Pioletti, A. M. (2017). Sport as a driver for local development and sustainable tourism. Revue </w:t>
      </w:r>
      <w:proofErr w:type="spellStart"/>
      <w:r>
        <w:rPr>
          <w:sz w:val="22"/>
          <w:szCs w:val="22"/>
        </w:rPr>
        <w:t>Internationale</w:t>
      </w:r>
      <w:proofErr w:type="spellEnd"/>
      <w:r>
        <w:rPr>
          <w:sz w:val="22"/>
          <w:szCs w:val="22"/>
        </w:rPr>
        <w:t xml:space="preserve"> Animation </w:t>
      </w:r>
      <w:proofErr w:type="spellStart"/>
      <w:r>
        <w:rPr>
          <w:sz w:val="22"/>
          <w:szCs w:val="22"/>
        </w:rPr>
        <w:t>Territoires</w:t>
      </w:r>
      <w:proofErr w:type="spellEnd"/>
      <w:r>
        <w:rPr>
          <w:sz w:val="22"/>
          <w:szCs w:val="22"/>
        </w:rPr>
        <w:t xml:space="preserve"> et Pratiques </w:t>
      </w:r>
      <w:proofErr w:type="spellStart"/>
      <w:r>
        <w:rPr>
          <w:sz w:val="22"/>
          <w:szCs w:val="22"/>
        </w:rPr>
        <w:t>Socioculturelles</w:t>
      </w:r>
      <w:proofErr w:type="spellEnd"/>
      <w:r>
        <w:rPr>
          <w:sz w:val="22"/>
          <w:szCs w:val="22"/>
        </w:rPr>
        <w:t>, 12, 30-46. https://doi.org/10.55765/atps.i12.598</w:t>
      </w:r>
    </w:p>
    <w:p w14:paraId="25FD9FAC" w14:textId="77777777" w:rsidR="00834E21" w:rsidRDefault="00000000">
      <w:pPr>
        <w:spacing w:before="60" w:after="60" w:line="320" w:lineRule="auto"/>
        <w:ind w:left="720" w:hanging="720"/>
        <w:jc w:val="both"/>
      </w:pPr>
      <w:r>
        <w:rPr>
          <w:sz w:val="22"/>
          <w:szCs w:val="22"/>
        </w:rPr>
        <w:t>Raso, G., &amp; Cherubini, D. (2023). Sport tourism and regional economic development. Scientific Journal of Sport and Performance, 3(1), 108-121. https://doi.org/10.55860/jkwx7277</w:t>
      </w:r>
    </w:p>
    <w:p w14:paraId="0DE350AB" w14:textId="77777777" w:rsidR="00834E21" w:rsidRDefault="00000000">
      <w:pPr>
        <w:spacing w:before="60" w:after="60" w:line="320" w:lineRule="auto"/>
        <w:ind w:left="720" w:hanging="720"/>
        <w:jc w:val="both"/>
      </w:pPr>
      <w:r>
        <w:rPr>
          <w:sz w:val="22"/>
          <w:szCs w:val="22"/>
        </w:rPr>
        <w:t>Schneider, S. K., &amp; George, W. M. (2011). Servant leadership versus transformational leadership in voluntary service organizations. Leadership and Organization Development Journal, 32(1), 60-77. https://doi.org/10.1108/01437731111099283</w:t>
      </w:r>
    </w:p>
    <w:p w14:paraId="649A7906" w14:textId="77777777" w:rsidR="00834E21" w:rsidRDefault="00000000">
      <w:pPr>
        <w:spacing w:before="60" w:after="60" w:line="320" w:lineRule="auto"/>
        <w:ind w:left="720" w:hanging="720"/>
        <w:jc w:val="both"/>
      </w:pPr>
      <w:r>
        <w:rPr>
          <w:sz w:val="22"/>
          <w:szCs w:val="22"/>
        </w:rPr>
        <w:t xml:space="preserve">Taks, M., </w:t>
      </w:r>
      <w:proofErr w:type="spellStart"/>
      <w:r>
        <w:rPr>
          <w:sz w:val="22"/>
          <w:szCs w:val="22"/>
        </w:rPr>
        <w:t>Chalip</w:t>
      </w:r>
      <w:proofErr w:type="spellEnd"/>
      <w:r>
        <w:rPr>
          <w:sz w:val="22"/>
          <w:szCs w:val="22"/>
        </w:rPr>
        <w:t>, L., &amp; Green, B. C. (2015). Impacts and strategic outcomes from non-mega sport events for local communities. European Sport Management Quarterly, 15(1), 1-6. https://doi.org/10.1080/16184742.2014.995116</w:t>
      </w:r>
    </w:p>
    <w:p w14:paraId="1521D145" w14:textId="77777777" w:rsidR="00834E21" w:rsidRDefault="00000000">
      <w:r>
        <w:br w:type="page"/>
      </w:r>
    </w:p>
    <w:p w14:paraId="4D6601BB" w14:textId="77777777" w:rsidR="00834E21" w:rsidRDefault="00000000">
      <w:pPr>
        <w:pStyle w:val="Heading1"/>
        <w:spacing w:after="120"/>
      </w:pPr>
      <w:r>
        <w:lastRenderedPageBreak/>
        <w:t>Chapter 7: Experiential Learning Through Community Engagement and Service</w:t>
      </w:r>
    </w:p>
    <w:p w14:paraId="5D5D4F94" w14:textId="77777777" w:rsidR="00834E21" w:rsidRDefault="00000000">
      <w:pPr>
        <w:pStyle w:val="Heading2"/>
        <w:spacing w:after="120"/>
      </w:pPr>
      <w:r>
        <w:t>7.1 Service Learning in Sport Management</w:t>
      </w:r>
    </w:p>
    <w:p w14:paraId="5FC2C924" w14:textId="77777777" w:rsidR="00834E21" w:rsidRDefault="00000000">
      <w:pPr>
        <w:spacing w:after="160" w:line="360" w:lineRule="auto"/>
        <w:ind w:firstLine="720"/>
        <w:jc w:val="both"/>
      </w:pPr>
      <w:r>
        <w:t>Service learning is a pedagogical approach that integrates meaningful community service with intentional academic learning, connecting theoretical knowledge to real community needs and generating reciprocal benefit for both students and community partners. Unlike purely volunteer experiences, service learning involves structured reflection that connects service activities to course objectives, theoretical frameworks, and civic or professional competencies. In sport management programs, service learning has been implemented in contexts ranging from youth sport leadership to adaptive sport programs to community wellness initiatives, each providing distinctive applied learning opportunities while contributing to pressing community needs.</w:t>
      </w:r>
    </w:p>
    <w:p w14:paraId="4EAB44E4" w14:textId="77777777" w:rsidR="00834E21" w:rsidRDefault="00000000">
      <w:pPr>
        <w:spacing w:after="160" w:line="360" w:lineRule="auto"/>
        <w:ind w:firstLine="720"/>
        <w:jc w:val="both"/>
      </w:pPr>
      <w:r>
        <w:t xml:space="preserve">Fuller et al. (2015) studied a sport-based </w:t>
      </w:r>
      <w:proofErr w:type="gramStart"/>
      <w:r>
        <w:t>service learning</w:t>
      </w:r>
      <w:proofErr w:type="gramEnd"/>
      <w:r>
        <w:t xml:space="preserve"> program that engaged in interdepartmental university partnerships and found that participants reported that the course was influential in developing their ability to recognize social inequities, and that participants indicated future intentions and current involvement in initiatives addressing social inequities in their areas of life. These findings suggest that well-designed sport-based service learning does more than develop practical competencies; it cultivates civic consciousness and social justice orientation that have long-term effects on professional behavior and community engagement.</w:t>
      </w:r>
    </w:p>
    <w:p w14:paraId="1B7EBE5D" w14:textId="23D2885A" w:rsidR="00834E21" w:rsidRDefault="00000000">
      <w:pPr>
        <w:spacing w:after="160" w:line="360" w:lineRule="auto"/>
        <w:ind w:firstLine="720"/>
        <w:jc w:val="both"/>
      </w:pPr>
      <w:r>
        <w:t xml:space="preserve">Mitchell and Buckingham (2020) examined the conditions under which service learning produces positive outcomes for community partners and found that </w:t>
      </w:r>
      <w:r w:rsidR="00D5035A">
        <w:t>group-team structure and the designation of a service-learning director improved partner outcomes, whereas longer semesters and greater organizational capacity did not automatically yield</w:t>
      </w:r>
      <w:r>
        <w:t xml:space="preserve"> better results. These findings suggest that the institutional design of </w:t>
      </w:r>
      <w:proofErr w:type="gramStart"/>
      <w:r>
        <w:t>service learning</w:t>
      </w:r>
      <w:proofErr w:type="gramEnd"/>
      <w:r>
        <w:t xml:space="preserve"> programs, not merely the good intentions of participants, determines whether community partners benefit meaningfully from student engagement. Sport management programs bear a responsibility to design </w:t>
      </w:r>
      <w:proofErr w:type="gramStart"/>
      <w:r>
        <w:t>service learning</w:t>
      </w:r>
      <w:proofErr w:type="gramEnd"/>
      <w:r>
        <w:t xml:space="preserve"> partnerships with rigor and to invest in the infrastructure needed to ensure genuine mutual benefit.</w:t>
      </w:r>
    </w:p>
    <w:p w14:paraId="022EE945" w14:textId="77777777" w:rsidR="00D5035A" w:rsidRDefault="00D5035A">
      <w:pPr>
        <w:spacing w:after="160" w:line="360" w:lineRule="auto"/>
        <w:ind w:firstLine="720"/>
        <w:jc w:val="both"/>
      </w:pPr>
    </w:p>
    <w:p w14:paraId="6859BFF6" w14:textId="77777777" w:rsidR="00834E21" w:rsidRDefault="00000000">
      <w:pPr>
        <w:pStyle w:val="Heading2"/>
        <w:spacing w:after="120"/>
      </w:pPr>
      <w:r>
        <w:lastRenderedPageBreak/>
        <w:t>7.2 Youth Sport Partnerships</w:t>
      </w:r>
    </w:p>
    <w:p w14:paraId="562639D3" w14:textId="43D30CC4" w:rsidR="00834E21" w:rsidRDefault="00000000">
      <w:pPr>
        <w:spacing w:after="160" w:line="360" w:lineRule="auto"/>
        <w:ind w:firstLine="720"/>
        <w:jc w:val="both"/>
      </w:pPr>
      <w:r>
        <w:t xml:space="preserve">Youth sport partnerships </w:t>
      </w:r>
      <w:r w:rsidR="00D5035A">
        <w:t>ar</w:t>
      </w:r>
      <w:r>
        <w:t xml:space="preserve">e </w:t>
      </w:r>
      <w:r w:rsidR="00D5035A">
        <w:t>among</w:t>
      </w:r>
      <w:r>
        <w:t xml:space="preserve"> the most widely available and educationally valuable service</w:t>
      </w:r>
      <w:r w:rsidR="00D5035A">
        <w:t>-</w:t>
      </w:r>
      <w:r>
        <w:t>learning contexts for sport management graduate students. Through partnerships with youth leagues, park and recreation departments, school athletic programs, and community sport organizations, graduate students can develop competencies in program design and delivery, coaching education, volunteer management, athlete development, and community relationship management. These experiences simultaneously build professional skills and contribute to the well</w:t>
      </w:r>
      <w:r w:rsidR="00D5035A">
        <w:t>-</w:t>
      </w:r>
      <w:r>
        <w:t>being of young people who stand to benefit significantly from high-quality sport programming.</w:t>
      </w:r>
    </w:p>
    <w:p w14:paraId="13853E5A" w14:textId="171114DD" w:rsidR="00834E21" w:rsidRDefault="00000000">
      <w:pPr>
        <w:spacing w:after="160" w:line="360" w:lineRule="auto"/>
        <w:ind w:firstLine="720"/>
        <w:jc w:val="both"/>
      </w:pPr>
      <w:r>
        <w:t xml:space="preserve">Newman et al. (2017) argued for </w:t>
      </w:r>
      <w:r w:rsidR="00D5035A">
        <w:t>integrating</w:t>
      </w:r>
      <w:r>
        <w:t xml:space="preserve"> experiential learning theory with sport-based positive youth development (PYD) frameworks, contending that experiential learning can </w:t>
      </w:r>
      <w:r w:rsidR="00D5035A">
        <w:t>guide</w:t>
      </w:r>
      <w:r>
        <w:t xml:space="preserve"> </w:t>
      </w:r>
      <w:r w:rsidR="00D5035A">
        <w:t>th</w:t>
      </w:r>
      <w:r>
        <w:t>e programming and practices of youth sport leaders. This integration positions sport management graduates working in youth sport contexts not merely as operational volunteers but as educators whose facilitation of reflective, developmental sport experiences can produce meaningful outcomes for young people. Graduate students who develop this dual competency, operational proficiency in youth sport administration alongside pedagogical skill in developmental sport facilitation, are positioned to lead organizations that create lasting community value.</w:t>
      </w:r>
    </w:p>
    <w:p w14:paraId="79B5CF58" w14:textId="77777777" w:rsidR="00834E21" w:rsidRDefault="00000000">
      <w:pPr>
        <w:spacing w:after="160" w:line="360" w:lineRule="auto"/>
        <w:ind w:firstLine="720"/>
        <w:jc w:val="both"/>
      </w:pPr>
      <w:r>
        <w:t>The quality of youth sport programming varies enormously across communities, and the gap between the best and worst programs frequently correlates with access to trained, supported leadership. Sport management graduates who enter youth sport organizations with professional-level competencies in program design, volunteer training, outcome evaluation, and organizational management can meaningfully elevate program quality and thereby expand access to developmental sport experiences for young people in underserved communities. This dimension of sport management career work represents some of the most directly impactful professional service available in the field.</w:t>
      </w:r>
    </w:p>
    <w:p w14:paraId="4EE05C34" w14:textId="77777777" w:rsidR="00834E21" w:rsidRDefault="00000000">
      <w:pPr>
        <w:pStyle w:val="Heading2"/>
        <w:spacing w:after="120"/>
      </w:pPr>
      <w:r>
        <w:t>7.3 Nonprofit Sport Organizations</w:t>
      </w:r>
    </w:p>
    <w:p w14:paraId="103E0CB0" w14:textId="77777777" w:rsidR="00834E21" w:rsidRDefault="00000000">
      <w:pPr>
        <w:spacing w:after="160" w:line="360" w:lineRule="auto"/>
        <w:ind w:firstLine="720"/>
        <w:jc w:val="both"/>
      </w:pPr>
      <w:r>
        <w:t xml:space="preserve">Nonprofit sport organizations occupy a distinctive position in the sport industry, combining the organizational complexity of professional operations with the mission-driven culture, resource constraints, and stakeholder accountability structures of the nonprofit sector. Examples include </w:t>
      </w:r>
      <w:r>
        <w:lastRenderedPageBreak/>
        <w:t>national governing bodies for Olympic sports, disability sport organizations, youth sport foundations, sport-based development organizations operating in underserved communities, and charitable foundations established by professional athletes or teams.</w:t>
      </w:r>
    </w:p>
    <w:p w14:paraId="37796E97" w14:textId="77777777" w:rsidR="00834E21" w:rsidRDefault="00000000">
      <w:pPr>
        <w:spacing w:after="160" w:line="360" w:lineRule="auto"/>
        <w:ind w:firstLine="720"/>
        <w:jc w:val="both"/>
      </w:pPr>
      <w:r>
        <w:t>Lim et al. (2023) examined the nonprofit role in building community social capital and found that nonprofit activity produces social benefits, brings engaged actors into social networks, and promotes a sense of community and belonging by instilling shared values and norms. This framing positions nonprofit sport organizations as social infrastructure, not merely service providers, and underscores the community development dimension of careers in nonprofit sport management. Graduate students who pursue applied learning in nonprofit settings develop competencies in resource development, volunteer management, grant writing, impact assessment, and stakeholder communication that are highly valued in the nonprofit sector.</w:t>
      </w:r>
    </w:p>
    <w:p w14:paraId="4894689A" w14:textId="77777777" w:rsidR="00834E21" w:rsidRDefault="00000000">
      <w:pPr>
        <w:spacing w:after="160" w:line="360" w:lineRule="auto"/>
        <w:ind w:firstLine="720"/>
        <w:jc w:val="both"/>
      </w:pPr>
      <w:r>
        <w:t xml:space="preserve">The resource constraints characteristic of most nonprofit sport organizations </w:t>
      </w:r>
      <w:proofErr w:type="gramStart"/>
      <w:r>
        <w:t>create</w:t>
      </w:r>
      <w:proofErr w:type="gramEnd"/>
      <w:r>
        <w:t xml:space="preserve"> both challenges and opportunities for developing sport management professionals. On the challenge side, nonprofits often require staff and volunteers to perform multiple roles with limited administrative support, demanding higher levels of functional versatility and self-direction than comparable positions in well-resourced organizations. On the opportunity side, these constraints frequently create conditions for graduate students to take on responsibilities that would be reserved for more senior staff in larger organizations, accelerating competency development through higher-stakes, broader-scope engagement.</w:t>
      </w:r>
    </w:p>
    <w:p w14:paraId="007DBC4F" w14:textId="77777777" w:rsidR="00834E21" w:rsidRDefault="00000000">
      <w:pPr>
        <w:pStyle w:val="Heading2"/>
        <w:spacing w:after="120"/>
      </w:pPr>
      <w:r>
        <w:t>7.4 Adaptive and Inclusive Sports</w:t>
      </w:r>
    </w:p>
    <w:p w14:paraId="72ADC670" w14:textId="77777777" w:rsidR="00834E21" w:rsidRDefault="00000000">
      <w:pPr>
        <w:spacing w:after="160" w:line="360" w:lineRule="auto"/>
        <w:ind w:firstLine="720"/>
        <w:jc w:val="both"/>
      </w:pPr>
      <w:r>
        <w:t>Adaptive and inclusive sport programming represents a professional area of growing importance and social significance within the sport management landscape. Organizations serving athletes with physical disabilities, intellectual disabilities, visual impairments, and other conditions require sport management professionals who combine the technical competencies of sport administration with cultural competency, accessibility knowledge, and commitment to inclusion. Career pathways in adaptive sport span elite competition organizations such as the United States Olympic and Paralympic Committee and its affiliated national governing bodies, recreational adaptive sport programs, therapeutic recreation programs in hospital and rehabilitation settings, and community disability organizations with sport programming components.</w:t>
      </w:r>
    </w:p>
    <w:p w14:paraId="0FA2A92F" w14:textId="77777777" w:rsidR="00834E21" w:rsidRDefault="00000000">
      <w:pPr>
        <w:spacing w:after="160" w:line="360" w:lineRule="auto"/>
        <w:ind w:firstLine="720"/>
        <w:jc w:val="both"/>
      </w:pPr>
      <w:r>
        <w:lastRenderedPageBreak/>
        <w:t>The Paralympic movement has grown significantly in organizational sophistication, media visibility, and athlete support over the past two decades, creating an expanding professional landscape that mirrors in many ways the organizational complexity of the Olympic movement. Graduate students interested in adaptive sport careers benefit from applied learning experiences that provide direct engagement with adaptive athletes, exposure to the organizations and programs that serve them, and understanding of the classification systems, equipment adaptations, and accessibility standards that govern Paralympic and para-sport competition.</w:t>
      </w:r>
    </w:p>
    <w:p w14:paraId="6E411DB4" w14:textId="77777777" w:rsidR="00834E21" w:rsidRDefault="00000000">
      <w:pPr>
        <w:spacing w:after="160" w:line="360" w:lineRule="auto"/>
        <w:ind w:firstLine="720"/>
        <w:jc w:val="both"/>
      </w:pPr>
      <w:r>
        <w:t>Beyond the elite competition context, adaptive and inclusive sport programming in community recreation settings represents an area of both compelling social need and accessible applied learning opportunity. Many communities have adaptive recreation programs that welcome volunteers and practicum students with strong organizational and interpersonal skills. These experiences develop not only technical programming competencies but the cross-cultural communication, empathy, and accessibility orientation that are increasingly valued across all areas of sport management as the field commits more seriously to diversity, equity, and inclusion.</w:t>
      </w:r>
    </w:p>
    <w:p w14:paraId="531D73FB"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492FA58A"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2BF74C1C"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Community as Partner, Not Audience</w:t>
            </w:r>
          </w:p>
        </w:tc>
      </w:tr>
      <w:tr w:rsidR="00834E21" w14:paraId="2D7307D7"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43EE7108" w14:textId="77777777" w:rsidR="00834E21" w:rsidRDefault="00000000">
            <w:pPr>
              <w:spacing w:line="320" w:lineRule="auto"/>
              <w:jc w:val="both"/>
            </w:pPr>
            <w:r>
              <w:rPr>
                <w:color w:val="1A1A1A"/>
                <w:sz w:val="22"/>
                <w:szCs w:val="22"/>
              </w:rPr>
              <w:t>A director of community engagement at an MLS club described the evolution of her department approach to youth outreach this way: We used to show up with branded giveaways and take a lot of photos. Now we ask the community what they need before we design anything. We have ongoing relationships with school principals, recreation center directors, and youth coaches who tell us where we can actually add value. The difference in what we do, and in how the community receives us, is night and day. This practitioner observation is a direct illustration of what Lim et al. (2023) found in their research on nonprofit social capital: the organizations that build the most durable community relationships are those that treat community members as partners with assets and knowledge, not as audiences for organizational programming. Every student who enters community-facing sport management work should carry this distinction into every outreach planning conversation.</w:t>
            </w:r>
          </w:p>
        </w:tc>
      </w:tr>
    </w:tbl>
    <w:p w14:paraId="310084F8" w14:textId="77777777" w:rsidR="00834E21" w:rsidRDefault="00834E21">
      <w:pPr>
        <w:spacing w:before="200"/>
      </w:pPr>
    </w:p>
    <w:p w14:paraId="440C65EA" w14:textId="77777777" w:rsidR="00D5035A" w:rsidRDefault="00D5035A">
      <w:pPr>
        <w:spacing w:before="200"/>
      </w:pPr>
    </w:p>
    <w:p w14:paraId="09FC2A38" w14:textId="77777777" w:rsidR="00D5035A" w:rsidRDefault="00D5035A">
      <w:pPr>
        <w:spacing w:before="200"/>
      </w:pPr>
    </w:p>
    <w:p w14:paraId="6D18E99F" w14:textId="77777777" w:rsidR="00D5035A" w:rsidRDefault="00D5035A">
      <w:pPr>
        <w:spacing w:before="200"/>
      </w:pPr>
    </w:p>
    <w:p w14:paraId="7BF9EAF8" w14:textId="77777777" w:rsidR="00834E21" w:rsidRDefault="00000000">
      <w:pPr>
        <w:pStyle w:val="Heading2"/>
        <w:spacing w:after="120"/>
      </w:pPr>
      <w:r>
        <w:lastRenderedPageBreak/>
        <w:t>7.5 Community Outreach Initiatives</w:t>
      </w:r>
    </w:p>
    <w:p w14:paraId="3DB813DF" w14:textId="6FC75CB7" w:rsidR="00834E21" w:rsidRDefault="00000000">
      <w:pPr>
        <w:spacing w:after="160" w:line="360" w:lineRule="auto"/>
        <w:ind w:firstLine="720"/>
        <w:jc w:val="both"/>
      </w:pPr>
      <w:r>
        <w:t>Community outreach is a function that exists at the intersection of sport management, public relations, and community development. Sport organizations at every level engage in community outreach activities</w:t>
      </w:r>
      <w:r w:rsidR="00D5035A">
        <w:t>,</w:t>
      </w:r>
      <w:r>
        <w:t xml:space="preserve"> including youth clinic programs, school visits, charitable giving and cause marketing, community service days, environmental sustainability initiatives, and health and wellness programming. These activities serve multiple organizational purposes, building brand awareness and goodwill, fulfilling social responsibility commitments, developing relationships with community stakeholders, and providing developmental opportunities for athletes and staff.</w:t>
      </w:r>
    </w:p>
    <w:p w14:paraId="59DF1B84" w14:textId="77777777" w:rsidR="00834E21" w:rsidRDefault="00000000">
      <w:pPr>
        <w:spacing w:after="160" w:line="360" w:lineRule="auto"/>
        <w:ind w:firstLine="720"/>
        <w:jc w:val="both"/>
      </w:pPr>
      <w:r>
        <w:t xml:space="preserve">Graduate students who develop competencies in community outreach and stakeholder engagement gain skills that are directly applicable across multiple sport management career pathways. Program management, event coordination, media communication, partnership development, and impact assessment are all required in effective community outreach work. </w:t>
      </w:r>
      <w:proofErr w:type="spellStart"/>
      <w:r>
        <w:t>Wieselmann</w:t>
      </w:r>
      <w:proofErr w:type="spellEnd"/>
      <w:r>
        <w:t xml:space="preserve"> et al. (2025) studied undergraduates serving as summer program volunteers in a STEM sport </w:t>
      </w:r>
      <w:proofErr w:type="gramStart"/>
      <w:r>
        <w:t>service learning</w:t>
      </w:r>
      <w:proofErr w:type="gramEnd"/>
      <w:r>
        <w:t xml:space="preserve"> context and found that participants reported benefits from the experience, particularly when they shared language or culture with the youth they served, but also identified the need for participants to be adequately prepared to recognize community assets and engage with diverse individuals.</w:t>
      </w:r>
    </w:p>
    <w:p w14:paraId="5F2F780F" w14:textId="77777777" w:rsidR="00834E21" w:rsidRDefault="00000000">
      <w:pPr>
        <w:spacing w:after="160" w:line="360" w:lineRule="auto"/>
        <w:ind w:firstLine="720"/>
        <w:jc w:val="both"/>
      </w:pPr>
      <w:r>
        <w:t>This finding is important for sport management programs designing community engagement experiences. Students who are deployed into community outreach roles without adequate preparation for cross-cultural engagement risk perpetuating the deficit-oriented thinking patterns that undermine genuine partnership between sport organizations and the communities they serve. Graduate programs that incorporate explicit cultural competency training, reflective practice around positionality, and frameworks for asset-based community engagement alongside technical skill development produce graduates who contribute more meaningfully and more ethically to community outreach initiatives.</w:t>
      </w:r>
    </w:p>
    <w:p w14:paraId="3B1DC0E0" w14:textId="77777777" w:rsidR="00834E21" w:rsidRDefault="00000000">
      <w:pPr>
        <w:spacing w:after="160" w:line="360" w:lineRule="auto"/>
        <w:ind w:firstLine="720"/>
        <w:jc w:val="both"/>
      </w:pPr>
      <w:r>
        <w:t xml:space="preserve">The growing scholarly and professional interest in diversity, equity, and inclusion within sport organizations has created both a moral imperative and a strategic opportunity for sport management graduates who develop genuine competency in equity-centered practice. Community engagement functions within sport organizations are frequently the primary interface between the </w:t>
      </w:r>
      <w:r>
        <w:lastRenderedPageBreak/>
        <w:t>organization and communities that have historically been underserved or excluded from mainstream sport culture, making DEI competency particularly critical in this area. Fuller et al. (2015) documented that sport-based service learning, when designed with explicit social justice orientation, produces meaningful shifts in participants' professional values and civic commitments.</w:t>
      </w:r>
    </w:p>
    <w:p w14:paraId="7F7D1AA7" w14:textId="77777777" w:rsidR="00834E21" w:rsidRDefault="00000000">
      <w:pPr>
        <w:spacing w:after="160" w:line="360" w:lineRule="auto"/>
        <w:ind w:firstLine="720"/>
        <w:jc w:val="both"/>
      </w:pPr>
      <w:r>
        <w:t xml:space="preserve">Cross-sector collaboration between sport organizations and public health, education, social services, and economic development agencies </w:t>
      </w:r>
      <w:proofErr w:type="gramStart"/>
      <w:r>
        <w:t>represents</w:t>
      </w:r>
      <w:proofErr w:type="gramEnd"/>
      <w:r>
        <w:t xml:space="preserve"> an emerging frontier of community sport engagement that creates distinctive career opportunities for sport management graduates with broad organizational and policy literacy. Sport-based after-school programs, health promotion initiatives embedded in professional team community foundations, and municipal recreation partnerships with collegiate athletic departments all require professionals who can navigate the different cultures, funding structures, and accountability frameworks of multiple organizational sectors simultaneously. Graduate students who pursue applied learning experiences that span organizational boundaries will develop the cross-sector competencies that are increasingly valued in community-facing sport management roles.</w:t>
      </w:r>
    </w:p>
    <w:p w14:paraId="7D746B3B" w14:textId="77777777" w:rsidR="00834E21" w:rsidRDefault="00000000">
      <w:pPr>
        <w:pStyle w:val="Heading2"/>
        <w:spacing w:after="120"/>
      </w:pPr>
      <w:r>
        <w:t>7.6 Social Impact Through Sports</w:t>
      </w:r>
    </w:p>
    <w:p w14:paraId="7642AC4B" w14:textId="11A2B122" w:rsidR="00834E21" w:rsidRDefault="00000000">
      <w:pPr>
        <w:spacing w:after="160" w:line="360" w:lineRule="auto"/>
        <w:ind w:firstLine="720"/>
        <w:jc w:val="both"/>
      </w:pPr>
      <w:r>
        <w:t>The concept of sport for development and peace (SDP) has generated a substantial body of international research examining the conditions under which sport programming produces positive social, health, educational, and community development outcomes. This literature is directly relevant to sport management graduate students who aspire to careers in community sport, international sport development, or the growing category of social</w:t>
      </w:r>
      <w:r w:rsidR="00D5035A">
        <w:t>-</w:t>
      </w:r>
      <w:r>
        <w:t>enterprise sport organizations that combine commercial sustainability with explicit social</w:t>
      </w:r>
      <w:r w:rsidR="00D5035A">
        <w:t>-</w:t>
      </w:r>
      <w:r>
        <w:t>impact missions.</w:t>
      </w:r>
    </w:p>
    <w:p w14:paraId="76D8AECE" w14:textId="19B39624" w:rsidR="00834E21" w:rsidRDefault="00000000">
      <w:pPr>
        <w:spacing w:after="160" w:line="360" w:lineRule="auto"/>
        <w:ind w:firstLine="720"/>
        <w:jc w:val="both"/>
      </w:pPr>
      <w:r>
        <w:t xml:space="preserve">Fuller et al. (2015) documented that </w:t>
      </w:r>
      <w:r w:rsidR="00D5035A">
        <w:t xml:space="preserve">participants in </w:t>
      </w:r>
      <w:r>
        <w:t xml:space="preserve">sport-based service learning developed the ability to recognize social inequities and engaged in subsequent actions </w:t>
      </w:r>
      <w:r w:rsidR="00D5035A">
        <w:t>to address</w:t>
      </w:r>
      <w:r>
        <w:t xml:space="preserve"> those inequities. </w:t>
      </w:r>
      <w:proofErr w:type="gramStart"/>
      <w:r>
        <w:t>This finding positions</w:t>
      </w:r>
      <w:proofErr w:type="gramEnd"/>
      <w:r>
        <w:t xml:space="preserve"> well-designed sport-based learning as a vehicle for civic development, not merely professional skill-building. Lim et al. (2023) found that nonprofit organizations with strong missions, learning cultures, and innovation practices were more effective at building community social capital than those lacking these organizational characteristics.</w:t>
      </w:r>
    </w:p>
    <w:p w14:paraId="71B714E3" w14:textId="77777777" w:rsidR="00834E21" w:rsidRDefault="00000000">
      <w:pPr>
        <w:spacing w:after="160" w:line="360" w:lineRule="auto"/>
        <w:ind w:firstLine="720"/>
        <w:jc w:val="both"/>
      </w:pPr>
      <w:r>
        <w:t xml:space="preserve">Sport management graduates who aspire to leadership roles in social impact organizations benefit from developing frameworks for rigorous impact assessment alongside the program </w:t>
      </w:r>
      <w:r>
        <w:lastRenderedPageBreak/>
        <w:t>development and organizational management competencies central to effective social enterprise management. Understanding how to measure, communicate, and scale social impact is increasingly important as funders, partners, and community stakeholders demand evidence of genuine outcomes rather than anecdotal accounts of program activity. This competency connects sport management practice to the broader field of social innovation and positions graduates to lead organizations that create measurable, lasting community benefit through sport.</w:t>
      </w:r>
    </w:p>
    <w:p w14:paraId="51087FE4" w14:textId="77777777" w:rsidR="00834E21" w:rsidRDefault="00000000">
      <w:pPr>
        <w:pStyle w:val="Heading2"/>
        <w:spacing w:after="120"/>
      </w:pPr>
      <w:r>
        <w:t>Discussion Questions</w:t>
      </w:r>
    </w:p>
    <w:p w14:paraId="4E1F1E27" w14:textId="77777777" w:rsidR="00834E21" w:rsidRDefault="00000000">
      <w:pPr>
        <w:spacing w:before="100" w:after="60" w:line="320" w:lineRule="auto"/>
        <w:ind w:left="720" w:hanging="360"/>
        <w:jc w:val="both"/>
      </w:pPr>
      <w:r>
        <w:rPr>
          <w:b/>
          <w:bCs/>
          <w:sz w:val="22"/>
          <w:szCs w:val="22"/>
        </w:rPr>
        <w:t xml:space="preserve">1. </w:t>
      </w:r>
      <w:r>
        <w:rPr>
          <w:sz w:val="22"/>
          <w:szCs w:val="22"/>
        </w:rPr>
        <w:t xml:space="preserve">Mitchell and Buckingham (2020) found that the institutional design of </w:t>
      </w:r>
      <w:proofErr w:type="gramStart"/>
      <w:r>
        <w:rPr>
          <w:sz w:val="22"/>
          <w:szCs w:val="22"/>
        </w:rPr>
        <w:t>service learning</w:t>
      </w:r>
      <w:proofErr w:type="gramEnd"/>
      <w:r>
        <w:rPr>
          <w:sz w:val="22"/>
          <w:szCs w:val="22"/>
        </w:rPr>
        <w:t xml:space="preserve"> programs, not just participant intentions, determines whether community partners benefit meaningfully. What institutional structures and commitments would you recommend that a sport management graduate program adopt to ensure that its </w:t>
      </w:r>
      <w:proofErr w:type="gramStart"/>
      <w:r>
        <w:rPr>
          <w:sz w:val="22"/>
          <w:szCs w:val="22"/>
        </w:rPr>
        <w:t>service learning</w:t>
      </w:r>
      <w:proofErr w:type="gramEnd"/>
      <w:r>
        <w:rPr>
          <w:sz w:val="22"/>
          <w:szCs w:val="22"/>
        </w:rPr>
        <w:t xml:space="preserve"> partnerships are genuinely mutually beneficial?</w:t>
      </w:r>
    </w:p>
    <w:p w14:paraId="1AD48D38" w14:textId="77777777" w:rsidR="00834E21" w:rsidRDefault="00000000">
      <w:pPr>
        <w:spacing w:before="100" w:after="60" w:line="320" w:lineRule="auto"/>
        <w:ind w:left="720" w:hanging="360"/>
        <w:jc w:val="both"/>
      </w:pPr>
      <w:r>
        <w:rPr>
          <w:b/>
          <w:bCs/>
          <w:sz w:val="22"/>
          <w:szCs w:val="22"/>
        </w:rPr>
        <w:t xml:space="preserve">2. </w:t>
      </w:r>
      <w:r>
        <w:rPr>
          <w:sz w:val="22"/>
          <w:szCs w:val="22"/>
        </w:rPr>
        <w:t xml:space="preserve">Fuller et al. (2015) found that sport-based </w:t>
      </w:r>
      <w:proofErr w:type="gramStart"/>
      <w:r>
        <w:rPr>
          <w:sz w:val="22"/>
          <w:szCs w:val="22"/>
        </w:rPr>
        <w:t>service learning</w:t>
      </w:r>
      <w:proofErr w:type="gramEnd"/>
      <w:r>
        <w:rPr>
          <w:sz w:val="22"/>
          <w:szCs w:val="22"/>
        </w:rPr>
        <w:t xml:space="preserve"> developed participants' recognition of social inequities and influenced their subsequent professional and civic behavior. How should sport management programs intentionally integrate social justice content into </w:t>
      </w:r>
      <w:proofErr w:type="gramStart"/>
      <w:r>
        <w:rPr>
          <w:sz w:val="22"/>
          <w:szCs w:val="22"/>
        </w:rPr>
        <w:t>service learning</w:t>
      </w:r>
      <w:proofErr w:type="gramEnd"/>
      <w:r>
        <w:rPr>
          <w:sz w:val="22"/>
          <w:szCs w:val="22"/>
        </w:rPr>
        <w:t xml:space="preserve"> courses to maximize this developmental outcome?</w:t>
      </w:r>
    </w:p>
    <w:p w14:paraId="673A6905" w14:textId="77777777" w:rsidR="00834E21" w:rsidRDefault="00000000">
      <w:pPr>
        <w:spacing w:before="100" w:after="60" w:line="320" w:lineRule="auto"/>
        <w:ind w:left="720" w:hanging="360"/>
        <w:jc w:val="both"/>
      </w:pPr>
      <w:r>
        <w:rPr>
          <w:b/>
          <w:bCs/>
          <w:sz w:val="22"/>
          <w:szCs w:val="22"/>
        </w:rPr>
        <w:t xml:space="preserve">3. </w:t>
      </w:r>
      <w:r>
        <w:rPr>
          <w:sz w:val="22"/>
          <w:szCs w:val="22"/>
        </w:rPr>
        <w:t>Lim et al. (2023) found that nonprofit missions were important drivers of organizational learning and innovation. How can sport management graduate students who aspire to nonprofit careers develop the skill of evaluating the authenticity and organizational effectiveness of a nonprofit sport organization's mission before committing to a career with that organization?</w:t>
      </w:r>
    </w:p>
    <w:p w14:paraId="46DBD030" w14:textId="77777777" w:rsidR="00834E21" w:rsidRDefault="00000000">
      <w:pPr>
        <w:spacing w:before="100" w:after="60" w:line="320" w:lineRule="auto"/>
        <w:ind w:left="720" w:hanging="360"/>
        <w:jc w:val="both"/>
      </w:pPr>
      <w:r>
        <w:rPr>
          <w:b/>
          <w:bCs/>
          <w:sz w:val="22"/>
          <w:szCs w:val="22"/>
        </w:rPr>
        <w:t xml:space="preserve">4. </w:t>
      </w:r>
      <w:r>
        <w:rPr>
          <w:sz w:val="22"/>
          <w:szCs w:val="22"/>
        </w:rPr>
        <w:t>Newman et al. (2017) argued for the integration of experiential learning theory with sport-based positive youth development frameworks. Design a one-semester youth sport leadership program that incorporates both frameworks, specifying the learning objectives, program activities, reflection structures, and outcome measures.</w:t>
      </w:r>
    </w:p>
    <w:p w14:paraId="79CEA670" w14:textId="77777777" w:rsidR="00834E21" w:rsidRDefault="00000000">
      <w:pPr>
        <w:spacing w:before="100" w:after="60" w:line="320" w:lineRule="auto"/>
        <w:ind w:left="720" w:hanging="360"/>
        <w:jc w:val="both"/>
      </w:pPr>
      <w:r>
        <w:rPr>
          <w:b/>
          <w:bCs/>
          <w:sz w:val="22"/>
          <w:szCs w:val="22"/>
        </w:rPr>
        <w:t xml:space="preserve">5. </w:t>
      </w:r>
      <w:r>
        <w:rPr>
          <w:sz w:val="22"/>
          <w:szCs w:val="22"/>
        </w:rPr>
        <w:t>The adaptive sport sector is growing in organizational complexity and professional opportunity. Identify a specific career pathway in adaptive sport management that interests you and develop a five-year plan for building the competencies and professional network necessary to pursue it.</w:t>
      </w:r>
    </w:p>
    <w:p w14:paraId="4EAD2FA1" w14:textId="77777777" w:rsidR="00D5035A" w:rsidRDefault="00D5035A">
      <w:pPr>
        <w:pStyle w:val="Heading2"/>
        <w:spacing w:after="120"/>
      </w:pPr>
    </w:p>
    <w:p w14:paraId="254E9857" w14:textId="77777777" w:rsidR="00D5035A" w:rsidRDefault="00D5035A">
      <w:pPr>
        <w:pStyle w:val="Heading2"/>
        <w:spacing w:after="120"/>
      </w:pPr>
    </w:p>
    <w:p w14:paraId="7FA409F1" w14:textId="77777777" w:rsidR="00D5035A" w:rsidRDefault="00D5035A">
      <w:pPr>
        <w:pStyle w:val="Heading2"/>
        <w:spacing w:after="120"/>
      </w:pPr>
    </w:p>
    <w:p w14:paraId="501E3384" w14:textId="77777777" w:rsidR="00D5035A" w:rsidRDefault="00D5035A">
      <w:pPr>
        <w:pStyle w:val="Heading2"/>
        <w:spacing w:after="120"/>
      </w:pPr>
    </w:p>
    <w:p w14:paraId="6DA48467" w14:textId="531E653A" w:rsidR="00834E21" w:rsidRDefault="00000000">
      <w:pPr>
        <w:pStyle w:val="Heading2"/>
        <w:spacing w:after="120"/>
      </w:pPr>
      <w:r>
        <w:lastRenderedPageBreak/>
        <w:t>Reflection Practices</w:t>
      </w:r>
    </w:p>
    <w:p w14:paraId="5B784A12" w14:textId="77777777" w:rsidR="00834E21" w:rsidRDefault="00834E2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7"/>
        <w:gridCol w:w="7743"/>
      </w:tblGrid>
      <w:tr w:rsidR="00834E21" w14:paraId="4C2D13AC"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19D3D41C" w14:textId="77777777" w:rsidR="00834E21" w:rsidRDefault="00000000">
            <w:pPr>
              <w:jc w:val="center"/>
            </w:pPr>
            <w:r>
              <w:rPr>
                <w:rFonts w:ascii="Arial" w:eastAsia="Arial" w:hAnsi="Arial" w:cs="Arial"/>
                <w:b/>
                <w:bCs/>
                <w:color w:val="2E4057"/>
                <w:sz w:val="28"/>
                <w:szCs w:val="28"/>
              </w:rPr>
              <w:t>1</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6E7CFE1A" w14:textId="77777777" w:rsidR="00834E21" w:rsidRDefault="00000000">
            <w:pPr>
              <w:spacing w:line="300" w:lineRule="auto"/>
              <w:jc w:val="both"/>
            </w:pPr>
            <w:r>
              <w:rPr>
                <w:b/>
                <w:bCs/>
                <w:color w:val="2E4057"/>
                <w:sz w:val="22"/>
                <w:szCs w:val="22"/>
              </w:rPr>
              <w:t xml:space="preserve">Community Partner Needs Assessment: Identify a local youth sport organization, adaptive sport program, or community sport nonprofit and conduct a structured needs assessment interview with a staff member or organizational leader. </w:t>
            </w:r>
            <w:r>
              <w:rPr>
                <w:color w:val="1A1A1A"/>
                <w:sz w:val="22"/>
                <w:szCs w:val="22"/>
              </w:rPr>
              <w:t>Using an asset-based community development framework, document the organization's strengths, resources, and aspirations alongside its challenges and gaps. Write a 600-word analysis proposing one specific way that your program could partner with the organization to create mutual benefit.</w:t>
            </w:r>
          </w:p>
        </w:tc>
      </w:tr>
      <w:tr w:rsidR="00834E21" w14:paraId="2DDCEED9"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78587A6F" w14:textId="77777777" w:rsidR="00834E21" w:rsidRDefault="00000000">
            <w:pPr>
              <w:jc w:val="center"/>
            </w:pPr>
            <w:r>
              <w:rPr>
                <w:rFonts w:ascii="Arial" w:eastAsia="Arial" w:hAnsi="Arial" w:cs="Arial"/>
                <w:b/>
                <w:bCs/>
                <w:color w:val="2E4057"/>
                <w:sz w:val="28"/>
                <w:szCs w:val="28"/>
              </w:rPr>
              <w:t>2</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755DE311" w14:textId="77777777" w:rsidR="00834E21" w:rsidRDefault="00000000">
            <w:pPr>
              <w:spacing w:line="300" w:lineRule="auto"/>
              <w:jc w:val="both"/>
            </w:pPr>
            <w:proofErr w:type="gramStart"/>
            <w:r>
              <w:rPr>
                <w:b/>
                <w:bCs/>
                <w:color w:val="2E4057"/>
                <w:sz w:val="22"/>
                <w:szCs w:val="22"/>
              </w:rPr>
              <w:t>Service Learning</w:t>
            </w:r>
            <w:proofErr w:type="gramEnd"/>
            <w:r>
              <w:rPr>
                <w:b/>
                <w:bCs/>
                <w:color w:val="2E4057"/>
                <w:sz w:val="22"/>
                <w:szCs w:val="22"/>
              </w:rPr>
              <w:t xml:space="preserve"> Project Design: Design a semester-long </w:t>
            </w:r>
            <w:proofErr w:type="gramStart"/>
            <w:r>
              <w:rPr>
                <w:b/>
                <w:bCs/>
                <w:color w:val="2E4057"/>
                <w:sz w:val="22"/>
                <w:szCs w:val="22"/>
              </w:rPr>
              <w:t>service learning</w:t>
            </w:r>
            <w:proofErr w:type="gramEnd"/>
            <w:r>
              <w:rPr>
                <w:b/>
                <w:bCs/>
                <w:color w:val="2E4057"/>
                <w:sz w:val="22"/>
                <w:szCs w:val="22"/>
              </w:rPr>
              <w:t xml:space="preserve"> project that you could complete with a community sport partner. </w:t>
            </w:r>
            <w:r>
              <w:rPr>
                <w:color w:val="1A1A1A"/>
                <w:sz w:val="22"/>
                <w:szCs w:val="22"/>
              </w:rPr>
              <w:t>The design should include community partner goals, student learning objectives, service activities, reflection structures, and evaluation methods. Address how you will ensure that the project produces genuine benefit for the community partner, not merely professional development for yourself.</w:t>
            </w:r>
          </w:p>
        </w:tc>
      </w:tr>
      <w:tr w:rsidR="00834E21" w14:paraId="21ADA6D4"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0FC3D56C" w14:textId="77777777" w:rsidR="00834E21" w:rsidRDefault="00000000">
            <w:pPr>
              <w:jc w:val="center"/>
            </w:pPr>
            <w:r>
              <w:rPr>
                <w:rFonts w:ascii="Arial" w:eastAsia="Arial" w:hAnsi="Arial" w:cs="Arial"/>
                <w:b/>
                <w:bCs/>
                <w:color w:val="2E4057"/>
                <w:sz w:val="28"/>
                <w:szCs w:val="28"/>
              </w:rPr>
              <w:t>3</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66DF5ADC" w14:textId="77777777" w:rsidR="00834E21" w:rsidRDefault="00000000">
            <w:pPr>
              <w:spacing w:line="300" w:lineRule="auto"/>
              <w:jc w:val="both"/>
            </w:pPr>
            <w:r>
              <w:rPr>
                <w:b/>
                <w:bCs/>
                <w:color w:val="2E4057"/>
                <w:sz w:val="22"/>
                <w:szCs w:val="22"/>
              </w:rPr>
              <w:t xml:space="preserve">Social Impact Measurement Framework: Select a sport-based community program and design a comprehensive social impact measurement framework for it. </w:t>
            </w:r>
            <w:r>
              <w:rPr>
                <w:color w:val="1A1A1A"/>
                <w:sz w:val="22"/>
                <w:szCs w:val="22"/>
              </w:rPr>
              <w:t>The framework should include theory of change, key performance indicators across multiple impact dimensions, data collection methods, reporting timeline, and stakeholder communication plan. Justify your design decisions with reference to best practices in social impact assessment.</w:t>
            </w:r>
          </w:p>
        </w:tc>
      </w:tr>
      <w:tr w:rsidR="00834E21" w14:paraId="52BCC54D"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1DE5E4FD" w14:textId="77777777" w:rsidR="00834E21" w:rsidRDefault="00000000">
            <w:pPr>
              <w:jc w:val="center"/>
            </w:pPr>
            <w:r>
              <w:rPr>
                <w:rFonts w:ascii="Arial" w:eastAsia="Arial" w:hAnsi="Arial" w:cs="Arial"/>
                <w:b/>
                <w:bCs/>
                <w:color w:val="2E4057"/>
                <w:sz w:val="28"/>
                <w:szCs w:val="28"/>
              </w:rPr>
              <w:t>4</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178E8CD0" w14:textId="77777777" w:rsidR="00834E21" w:rsidRDefault="00000000">
            <w:pPr>
              <w:spacing w:line="300" w:lineRule="auto"/>
              <w:jc w:val="both"/>
            </w:pPr>
            <w:r>
              <w:rPr>
                <w:b/>
                <w:bCs/>
                <w:color w:val="2E4057"/>
                <w:sz w:val="22"/>
                <w:szCs w:val="22"/>
              </w:rPr>
              <w:t xml:space="preserve">Adaptive Sport Participation: If possible, participate in an adaptive sport clinic, tournament, or recreational session as an observer, volunteer, or participant. </w:t>
            </w:r>
            <w:r>
              <w:rPr>
                <w:color w:val="1A1A1A"/>
                <w:sz w:val="22"/>
                <w:szCs w:val="22"/>
              </w:rPr>
              <w:t>Write a 500-word experiential reflection that addresses what you learned about adaptive athletes, the organizational challenges of adaptive sport programming, and how the experience affected your professional values and aspirations.</w:t>
            </w:r>
          </w:p>
        </w:tc>
      </w:tr>
      <w:tr w:rsidR="00834E21" w14:paraId="4B119E93"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2EEA0E97" w14:textId="77777777" w:rsidR="00834E21" w:rsidRDefault="00000000">
            <w:pPr>
              <w:jc w:val="center"/>
            </w:pPr>
            <w:r>
              <w:rPr>
                <w:rFonts w:ascii="Arial" w:eastAsia="Arial" w:hAnsi="Arial" w:cs="Arial"/>
                <w:b/>
                <w:bCs/>
                <w:color w:val="2E4057"/>
                <w:sz w:val="28"/>
                <w:szCs w:val="28"/>
              </w:rPr>
              <w:t>5</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643E74BF" w14:textId="77777777" w:rsidR="00834E21" w:rsidRDefault="00000000">
            <w:pPr>
              <w:spacing w:line="300" w:lineRule="auto"/>
              <w:jc w:val="both"/>
            </w:pPr>
            <w:r>
              <w:rPr>
                <w:b/>
                <w:bCs/>
                <w:color w:val="2E4057"/>
                <w:sz w:val="22"/>
                <w:szCs w:val="22"/>
              </w:rPr>
              <w:t xml:space="preserve">Community Engagement Plan: Develop a comprehensive community engagement plan for a hypothetical or real sport organization in your region. </w:t>
            </w:r>
            <w:r>
              <w:rPr>
                <w:color w:val="1A1A1A"/>
                <w:sz w:val="22"/>
                <w:szCs w:val="22"/>
              </w:rPr>
              <w:t>The plan should include stakeholder mapping, program portfolio description, partnership strategy, volunteer management approach, communication plan, and social impact measurement framework. Address how the plan advances both organizational goals and genuine community benefit.</w:t>
            </w:r>
          </w:p>
        </w:tc>
      </w:tr>
    </w:tbl>
    <w:p w14:paraId="7DFD4969" w14:textId="77777777" w:rsidR="00834E21" w:rsidRDefault="00834E21">
      <w:pPr>
        <w:spacing w:before="240"/>
      </w:pPr>
    </w:p>
    <w:p w14:paraId="10D54810" w14:textId="77777777" w:rsidR="00D5035A" w:rsidRDefault="00D5035A">
      <w:pPr>
        <w:pStyle w:val="Heading2"/>
        <w:spacing w:after="120"/>
      </w:pPr>
    </w:p>
    <w:p w14:paraId="1A864176" w14:textId="31AB39CD" w:rsidR="00834E21" w:rsidRDefault="00000000">
      <w:pPr>
        <w:pStyle w:val="Heading2"/>
        <w:spacing w:after="120"/>
      </w:pPr>
      <w:r>
        <w:lastRenderedPageBreak/>
        <w:t>References</w:t>
      </w:r>
    </w:p>
    <w:p w14:paraId="2B8A05A3" w14:textId="77777777" w:rsidR="00834E21" w:rsidRDefault="00000000">
      <w:pPr>
        <w:spacing w:before="60" w:after="60" w:line="320" w:lineRule="auto"/>
        <w:ind w:left="720" w:hanging="720"/>
        <w:jc w:val="both"/>
      </w:pPr>
      <w:r>
        <w:rPr>
          <w:sz w:val="22"/>
          <w:szCs w:val="22"/>
        </w:rPr>
        <w:t xml:space="preserve">Fuller, R. D., Evanovich, J. M., &amp; Bruening, J. E. (2015). The impact of a sport-based </w:t>
      </w:r>
      <w:proofErr w:type="gramStart"/>
      <w:r>
        <w:rPr>
          <w:sz w:val="22"/>
          <w:szCs w:val="22"/>
        </w:rPr>
        <w:t>service learning</w:t>
      </w:r>
      <w:proofErr w:type="gramEnd"/>
      <w:r>
        <w:rPr>
          <w:sz w:val="22"/>
          <w:szCs w:val="22"/>
        </w:rPr>
        <w:t xml:space="preserve"> course on participants' attitudes, intentions and actions toward social change. Journal of Intercollegiate Sport, 8(1), 14-36. https://doi.org/10.1123/jis.2014-0127</w:t>
      </w:r>
    </w:p>
    <w:p w14:paraId="690719C6" w14:textId="77777777" w:rsidR="00834E21" w:rsidRDefault="00000000">
      <w:pPr>
        <w:spacing w:before="60" w:after="60" w:line="320" w:lineRule="auto"/>
        <w:ind w:left="720" w:hanging="720"/>
        <w:jc w:val="both"/>
      </w:pPr>
      <w:r>
        <w:rPr>
          <w:sz w:val="22"/>
          <w:szCs w:val="22"/>
        </w:rPr>
        <w:t>Lim, S., Min, B. H., &amp; Berlan, D. (2023). The nonprofit role in building community social capital: A moderated mediation model of organizational learning, innovation, and shared mission for social capital creation. Nonprofit and Voluntary Sector Quarterly, 53(1), 210-235. https://doi.org/10.1177/08997640221146965</w:t>
      </w:r>
    </w:p>
    <w:p w14:paraId="5074BFC8" w14:textId="77777777" w:rsidR="00834E21" w:rsidRDefault="00000000">
      <w:pPr>
        <w:spacing w:before="60" w:after="60" w:line="320" w:lineRule="auto"/>
        <w:ind w:left="720" w:hanging="720"/>
        <w:jc w:val="both"/>
      </w:pPr>
      <w:r>
        <w:rPr>
          <w:sz w:val="22"/>
          <w:szCs w:val="22"/>
        </w:rPr>
        <w:t>Mitchell, D., &amp; Buckingham, G. (2020). Transforming plans into community impact: Strategic planning as service-learning in public and nonprofit administration graduate programs. Teaching Public Administration, 39(1), 9-25. https://doi.org/10.1177/0144739420929380</w:t>
      </w:r>
    </w:p>
    <w:p w14:paraId="29EE495A" w14:textId="77777777" w:rsidR="00834E21" w:rsidRDefault="00000000">
      <w:pPr>
        <w:spacing w:before="60" w:after="60" w:line="320" w:lineRule="auto"/>
        <w:ind w:left="720" w:hanging="720"/>
        <w:jc w:val="both"/>
      </w:pPr>
      <w:r>
        <w:rPr>
          <w:sz w:val="22"/>
          <w:szCs w:val="22"/>
        </w:rPr>
        <w:t>Newman, T. J., Alvarez, M. A. G., &amp; Kim, M. (2017). An experiential approach to sport for youth development. Journal of Experiential Education, 40(3), 308-322. https://doi.org/10.1177/1053825917696833</w:t>
      </w:r>
    </w:p>
    <w:p w14:paraId="3580D88A" w14:textId="77777777" w:rsidR="00834E21" w:rsidRDefault="00000000">
      <w:pPr>
        <w:spacing w:before="60" w:after="60" w:line="320" w:lineRule="auto"/>
        <w:ind w:left="720" w:hanging="720"/>
        <w:jc w:val="both"/>
      </w:pPr>
      <w:r>
        <w:rPr>
          <w:sz w:val="22"/>
          <w:szCs w:val="22"/>
        </w:rPr>
        <w:t>Wieselmann, J. R., Sager, M. T., &amp; Scott, C. C. (2025). STEM, sports, and service-learning: Exploring undergraduates' experiential learning and social consciousness as summer program volunteers. Journal of Experiential Education, 48(4), 746-766. https://doi.org/10.1177/10538259251331584</w:t>
      </w:r>
    </w:p>
    <w:p w14:paraId="2AFFED9E" w14:textId="77777777" w:rsidR="00834E21" w:rsidRDefault="00000000">
      <w:r>
        <w:br w:type="page"/>
      </w:r>
    </w:p>
    <w:p w14:paraId="374B84D1" w14:textId="77777777" w:rsidR="00834E21" w:rsidRDefault="00000000">
      <w:pPr>
        <w:pStyle w:val="Heading1"/>
        <w:spacing w:after="120"/>
      </w:pPr>
      <w:r>
        <w:lastRenderedPageBreak/>
        <w:t>Chapter 8: Maximizing Networking Opportunities in Sport Management</w:t>
      </w:r>
    </w:p>
    <w:p w14:paraId="6733052A" w14:textId="77777777" w:rsidR="00834E21" w:rsidRDefault="00000000">
      <w:pPr>
        <w:pStyle w:val="Heading2"/>
        <w:spacing w:after="120"/>
      </w:pPr>
      <w:r>
        <w:t>8.1 Building Authentic Professional Relationships</w:t>
      </w:r>
    </w:p>
    <w:p w14:paraId="2B5A01CA" w14:textId="77777777" w:rsidR="00834E21" w:rsidRDefault="00000000">
      <w:pPr>
        <w:spacing w:after="160" w:line="360" w:lineRule="auto"/>
        <w:ind w:firstLine="720"/>
        <w:jc w:val="both"/>
      </w:pPr>
      <w:r>
        <w:t>Professional networking is one of the most consistently cited factors in sport industry career success, and yet it is also one of the most frequently misunderstood. Networking is not a transactional process of collecting contacts for future extraction of professional favors. It is the ongoing cultivation of authentic, mutually beneficial professional relationships that generate value for all parties over time. This distinction is not merely semantic; it reflects fundamentally different orientations toward professional community that produce fundamentally different career outcomes.</w:t>
      </w:r>
    </w:p>
    <w:p w14:paraId="37035A94" w14:textId="77777777" w:rsidR="00834E21" w:rsidRDefault="00000000">
      <w:pPr>
        <w:spacing w:after="160" w:line="360" w:lineRule="auto"/>
        <w:ind w:firstLine="720"/>
        <w:jc w:val="both"/>
      </w:pPr>
      <w:r>
        <w:t>Cosentino et al. (2021) found that networking was identified as one of the most important strategies to assist women advancing into senior leadership roles in Canadian professional sport, and that more active and effective networking can make a difference for women seeking senior leadership roles in sport. Notably, the senior leaders interviewed in this study were unanimous that most women who work within the professional sports industry do not effectively network. This observation extends beyond gender, suggesting that many sport management professionals at all levels underinvest in networking relative to its career impact.</w:t>
      </w:r>
    </w:p>
    <w:p w14:paraId="16B6C273" w14:textId="77777777" w:rsidR="00834E21" w:rsidRDefault="00000000">
      <w:pPr>
        <w:spacing w:after="160" w:line="360" w:lineRule="auto"/>
        <w:ind w:firstLine="720"/>
        <w:jc w:val="both"/>
      </w:pPr>
      <w:r>
        <w:t>Olsen and LaGree (2023) found that professional relationships were key for effective organizational acclimation among early-career women, and that role modeling and access to a network of professional contacts early in one's career opens doors to professional advancement opportunities. These findings suggest that the value of networking is not uniformly distributed across career stages, and that the relationships cultivated during graduate study and early-career applied learning experiences have disproportionate long-term value. Graduate students who prioritize intentional networking during their academic preparation and early career are making investments with compounding returns.</w:t>
      </w:r>
    </w:p>
    <w:p w14:paraId="7C4E71B7" w14:textId="77777777" w:rsidR="00834E21" w:rsidRDefault="00000000">
      <w:pPr>
        <w:pStyle w:val="Heading2"/>
        <w:spacing w:after="120"/>
      </w:pPr>
      <w:r>
        <w:t>8.2 Networking Before, During, and After Events</w:t>
      </w:r>
    </w:p>
    <w:p w14:paraId="686D85AB" w14:textId="77777777" w:rsidR="00834E21" w:rsidRDefault="00000000">
      <w:pPr>
        <w:spacing w:after="160" w:line="360" w:lineRule="auto"/>
        <w:ind w:firstLine="720"/>
        <w:jc w:val="both"/>
      </w:pPr>
      <w:r>
        <w:t xml:space="preserve">Professional conferences and industry events represent concentrated networking opportunities that require specific preparation strategies to maximize value. The most effective networkers approach these events with clear goals, a prepared introduction, specific individuals or </w:t>
      </w:r>
      <w:r>
        <w:lastRenderedPageBreak/>
        <w:t>organizational types they wish to engage, and a follow-up plan that ensures new connections are maintained beyond the event itself. Graduate students who attend conferences without this preparation often return with a stack of business cards and few meaningful new relationships.</w:t>
      </w:r>
    </w:p>
    <w:p w14:paraId="4CADEBA1" w14:textId="77777777" w:rsidR="00834E21" w:rsidRDefault="00000000">
      <w:pPr>
        <w:spacing w:after="160" w:line="360" w:lineRule="auto"/>
        <w:ind w:firstLine="720"/>
        <w:jc w:val="both"/>
      </w:pPr>
      <w:r>
        <w:t>Pre-event preparation includes researching the speaker and attendee roster, identifying specific individuals whose work or organizational role makes them particularly valuable contacts, preparing informed questions that demonstrate genuine interest in their work, and connecting with current contacts who will also be attending. During the event, effective networkers balance the competing demands of attending educational sessions, engaging in formal networking activities, and seeking out informal conversations that often produce the most genuine connection. Quality of interaction consistently trumps quantity of contacts; a single substantive conversation with an experienced professional often produces more career value than a dozen superficial introductions.</w:t>
      </w:r>
    </w:p>
    <w:p w14:paraId="473558A7" w14:textId="77777777" w:rsidR="00834E21" w:rsidRDefault="00000000">
      <w:pPr>
        <w:spacing w:after="160" w:line="360" w:lineRule="auto"/>
        <w:ind w:firstLine="720"/>
        <w:jc w:val="both"/>
      </w:pPr>
      <w:r>
        <w:t>Post-event follow-up is arguably the most important phase of the networking process, as it transforms brief encounters into the beginning of durable professional relationships. Following up within 48 hours of a conference encounter, referencing a specific point from the conversation, and expressing a genuine interest in continued connection demonstrates the professionalism and interpersonal attentiveness that distinguishes serious networkers from casual ones. Graduate programs that incorporate structured post-conference networking assignments, such as requiring students to follow up with a minimum number of contacts and to document the interactions, help students develop this critical habit before it can be established informally.</w:t>
      </w:r>
    </w:p>
    <w:p w14:paraId="6496DE59" w14:textId="77777777" w:rsidR="00834E21" w:rsidRDefault="00000000">
      <w:pPr>
        <w:spacing w:before="200" w:after="60"/>
      </w:pPr>
      <w:r>
        <w:rPr>
          <w:rFonts w:ascii="Arial" w:eastAsia="Arial" w:hAnsi="Arial" w:cs="Arial"/>
          <w:b/>
          <w:bCs/>
          <w:color w:val="2E4057"/>
          <w:sz w:val="22"/>
          <w:szCs w:val="22"/>
        </w:rPr>
        <w:t>Table 8.1</w:t>
      </w:r>
    </w:p>
    <w:p w14:paraId="0ADCFAD1" w14:textId="77777777" w:rsidR="00834E21" w:rsidRDefault="00000000">
      <w:pPr>
        <w:spacing w:after="80"/>
      </w:pPr>
      <w:r>
        <w:rPr>
          <w:rFonts w:ascii="Arial" w:eastAsia="Arial" w:hAnsi="Arial" w:cs="Arial"/>
          <w:i/>
          <w:iCs/>
          <w:color w:val="444444"/>
          <w:sz w:val="20"/>
          <w:szCs w:val="20"/>
        </w:rPr>
        <w:t>Networking Platform Comparison for Sport Management Professionals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080"/>
        <w:gridCol w:w="2880"/>
      </w:tblGrid>
      <w:tr w:rsidR="00834E21" w14:paraId="225458FE" w14:textId="77777777">
        <w:tblPrEx>
          <w:tblCellMar>
            <w:top w:w="0" w:type="dxa"/>
            <w:bottom w:w="0" w:type="dxa"/>
          </w:tblCellMar>
        </w:tblPrEx>
        <w:trPr>
          <w:tblHeader/>
        </w:trPr>
        <w:tc>
          <w:tcPr>
            <w:tcW w:w="220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5A8EC86A" w14:textId="77777777" w:rsidR="00834E21" w:rsidRDefault="00000000">
            <w:pPr>
              <w:jc w:val="center"/>
            </w:pPr>
            <w:r>
              <w:rPr>
                <w:b/>
                <w:bCs/>
                <w:color w:val="FFFFFF"/>
                <w:sz w:val="22"/>
                <w:szCs w:val="22"/>
              </w:rPr>
              <w:t>Platform / Venue</w:t>
            </w:r>
          </w:p>
        </w:tc>
        <w:tc>
          <w:tcPr>
            <w:tcW w:w="220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32AB75F5" w14:textId="77777777" w:rsidR="00834E21" w:rsidRDefault="00000000">
            <w:pPr>
              <w:jc w:val="center"/>
            </w:pPr>
            <w:r>
              <w:rPr>
                <w:b/>
                <w:bCs/>
                <w:color w:val="FFFFFF"/>
                <w:sz w:val="22"/>
                <w:szCs w:val="22"/>
              </w:rPr>
              <w:t>Best Use Case</w:t>
            </w:r>
          </w:p>
        </w:tc>
        <w:tc>
          <w:tcPr>
            <w:tcW w:w="208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76D8FD9C" w14:textId="77777777" w:rsidR="00834E21" w:rsidRDefault="00000000">
            <w:pPr>
              <w:jc w:val="center"/>
            </w:pPr>
            <w:r>
              <w:rPr>
                <w:b/>
                <w:bCs/>
                <w:color w:val="FFFFFF"/>
                <w:sz w:val="22"/>
                <w:szCs w:val="22"/>
              </w:rPr>
              <w:t>Preparation Required</w:t>
            </w:r>
          </w:p>
        </w:tc>
        <w:tc>
          <w:tcPr>
            <w:tcW w:w="2880" w:type="dxa"/>
            <w:tcBorders>
              <w:top w:val="single" w:sz="4" w:space="0" w:color="2E4057"/>
              <w:left w:val="none" w:sz="0" w:space="0" w:color="FFFFFF"/>
              <w:bottom w:val="single" w:sz="4" w:space="0" w:color="2E4057"/>
              <w:right w:val="none" w:sz="0" w:space="0" w:color="FFFFFF"/>
            </w:tcBorders>
            <w:shd w:val="clear" w:color="auto" w:fill="2E4057"/>
            <w:tcMar>
              <w:top w:w="100" w:type="dxa"/>
              <w:left w:w="140" w:type="dxa"/>
              <w:bottom w:w="100" w:type="dxa"/>
              <w:right w:w="140" w:type="dxa"/>
            </w:tcMar>
            <w:vAlign w:val="center"/>
          </w:tcPr>
          <w:p w14:paraId="7D86400E" w14:textId="77777777" w:rsidR="00834E21" w:rsidRDefault="00000000">
            <w:pPr>
              <w:jc w:val="center"/>
            </w:pPr>
            <w:r>
              <w:rPr>
                <w:b/>
                <w:bCs/>
                <w:color w:val="FFFFFF"/>
                <w:sz w:val="22"/>
                <w:szCs w:val="22"/>
              </w:rPr>
              <w:t>Follow-Up Strategy</w:t>
            </w:r>
          </w:p>
        </w:tc>
      </w:tr>
      <w:tr w:rsidR="00834E21" w14:paraId="7658C241" w14:textId="77777777">
        <w:tblPrEx>
          <w:tblCellMar>
            <w:top w:w="0" w:type="dxa"/>
            <w:bottom w:w="0" w:type="dxa"/>
          </w:tblCellMar>
        </w:tblPrEx>
        <w:tc>
          <w:tcPr>
            <w:tcW w:w="22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18E6BE26" w14:textId="77777777" w:rsidR="00834E21" w:rsidRDefault="00000000">
            <w:r>
              <w:rPr>
                <w:color w:val="1A1A1A"/>
                <w:sz w:val="22"/>
                <w:szCs w:val="22"/>
              </w:rPr>
              <w:t>LinkedIn</w:t>
            </w:r>
          </w:p>
        </w:tc>
        <w:tc>
          <w:tcPr>
            <w:tcW w:w="22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67198248" w14:textId="77777777" w:rsidR="00834E21" w:rsidRDefault="00000000">
            <w:r>
              <w:rPr>
                <w:color w:val="1A1A1A"/>
                <w:sz w:val="22"/>
                <w:szCs w:val="22"/>
              </w:rPr>
              <w:t>Ongoing visibility, industry content engagement</w:t>
            </w:r>
          </w:p>
        </w:tc>
        <w:tc>
          <w:tcPr>
            <w:tcW w:w="20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58A7F320" w14:textId="77777777" w:rsidR="00834E21" w:rsidRDefault="00000000">
            <w:r>
              <w:rPr>
                <w:color w:val="1A1A1A"/>
                <w:sz w:val="22"/>
                <w:szCs w:val="22"/>
              </w:rPr>
              <w:t>Strong profile, regular posting</w:t>
            </w:r>
          </w:p>
        </w:tc>
        <w:tc>
          <w:tcPr>
            <w:tcW w:w="28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3E26ECD7" w14:textId="77777777" w:rsidR="00834E21" w:rsidRDefault="00000000">
            <w:r>
              <w:rPr>
                <w:color w:val="1A1A1A"/>
                <w:sz w:val="22"/>
                <w:szCs w:val="22"/>
              </w:rPr>
              <w:t xml:space="preserve">Connect within 24 </w:t>
            </w:r>
            <w:proofErr w:type="spellStart"/>
            <w:r>
              <w:rPr>
                <w:color w:val="1A1A1A"/>
                <w:sz w:val="22"/>
                <w:szCs w:val="22"/>
              </w:rPr>
              <w:t>hrs</w:t>
            </w:r>
            <w:proofErr w:type="spellEnd"/>
            <w:r>
              <w:rPr>
                <w:color w:val="1A1A1A"/>
                <w:sz w:val="22"/>
                <w:szCs w:val="22"/>
              </w:rPr>
              <w:t>; comment on posts</w:t>
            </w:r>
          </w:p>
        </w:tc>
      </w:tr>
      <w:tr w:rsidR="00834E21" w14:paraId="72FB9F06" w14:textId="77777777">
        <w:tblPrEx>
          <w:tblCellMar>
            <w:top w:w="0" w:type="dxa"/>
            <w:bottom w:w="0" w:type="dxa"/>
          </w:tblCellMar>
        </w:tblPrEx>
        <w:tc>
          <w:tcPr>
            <w:tcW w:w="22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462122C3" w14:textId="77777777" w:rsidR="00834E21" w:rsidRDefault="00000000">
            <w:r>
              <w:rPr>
                <w:color w:val="1A1A1A"/>
                <w:sz w:val="22"/>
                <w:szCs w:val="22"/>
              </w:rPr>
              <w:t>NACDA Convention</w:t>
            </w:r>
          </w:p>
        </w:tc>
        <w:tc>
          <w:tcPr>
            <w:tcW w:w="22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003F62F1" w14:textId="77777777" w:rsidR="00834E21" w:rsidRDefault="00000000">
            <w:r>
              <w:rPr>
                <w:color w:val="1A1A1A"/>
                <w:sz w:val="22"/>
                <w:szCs w:val="22"/>
              </w:rPr>
              <w:t>Collegiate athletics leadership network</w:t>
            </w:r>
          </w:p>
        </w:tc>
        <w:tc>
          <w:tcPr>
            <w:tcW w:w="208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1AC371B3" w14:textId="77777777" w:rsidR="00834E21" w:rsidRDefault="00000000">
            <w:r>
              <w:rPr>
                <w:color w:val="1A1A1A"/>
                <w:sz w:val="22"/>
                <w:szCs w:val="22"/>
              </w:rPr>
              <w:t>Research attendees, prepare introductions</w:t>
            </w:r>
          </w:p>
        </w:tc>
        <w:tc>
          <w:tcPr>
            <w:tcW w:w="288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56ED91B5" w14:textId="77777777" w:rsidR="00834E21" w:rsidRDefault="00000000">
            <w:r>
              <w:rPr>
                <w:color w:val="1A1A1A"/>
                <w:sz w:val="22"/>
                <w:szCs w:val="22"/>
              </w:rPr>
              <w:t xml:space="preserve">Personalized email within 48 </w:t>
            </w:r>
            <w:proofErr w:type="spellStart"/>
            <w:r>
              <w:rPr>
                <w:color w:val="1A1A1A"/>
                <w:sz w:val="22"/>
                <w:szCs w:val="22"/>
              </w:rPr>
              <w:t>hrs</w:t>
            </w:r>
            <w:proofErr w:type="spellEnd"/>
          </w:p>
        </w:tc>
      </w:tr>
      <w:tr w:rsidR="00834E21" w14:paraId="64F0BA60" w14:textId="77777777">
        <w:tblPrEx>
          <w:tblCellMar>
            <w:top w:w="0" w:type="dxa"/>
            <w:bottom w:w="0" w:type="dxa"/>
          </w:tblCellMar>
        </w:tblPrEx>
        <w:tc>
          <w:tcPr>
            <w:tcW w:w="22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3A1093F4" w14:textId="77777777" w:rsidR="00834E21" w:rsidRDefault="00000000">
            <w:r>
              <w:rPr>
                <w:color w:val="1A1A1A"/>
                <w:sz w:val="22"/>
                <w:szCs w:val="22"/>
              </w:rPr>
              <w:t>National Sports Forum</w:t>
            </w:r>
          </w:p>
        </w:tc>
        <w:tc>
          <w:tcPr>
            <w:tcW w:w="22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2908CB56" w14:textId="77777777" w:rsidR="00834E21" w:rsidRDefault="00000000">
            <w:r>
              <w:rPr>
                <w:color w:val="1A1A1A"/>
                <w:sz w:val="22"/>
                <w:szCs w:val="22"/>
              </w:rPr>
              <w:t>Cross-sector industry connections</w:t>
            </w:r>
          </w:p>
        </w:tc>
        <w:tc>
          <w:tcPr>
            <w:tcW w:w="20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516D77F6" w14:textId="77777777" w:rsidR="00834E21" w:rsidRDefault="00000000">
            <w:r>
              <w:rPr>
                <w:color w:val="1A1A1A"/>
                <w:sz w:val="22"/>
                <w:szCs w:val="22"/>
              </w:rPr>
              <w:t>Identify target organizations</w:t>
            </w:r>
          </w:p>
        </w:tc>
        <w:tc>
          <w:tcPr>
            <w:tcW w:w="28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6F9FEA69" w14:textId="77777777" w:rsidR="00834E21" w:rsidRDefault="00000000">
            <w:r>
              <w:rPr>
                <w:color w:val="1A1A1A"/>
                <w:sz w:val="22"/>
                <w:szCs w:val="22"/>
              </w:rPr>
              <w:t>LinkedIn connection + specific reference</w:t>
            </w:r>
          </w:p>
        </w:tc>
      </w:tr>
      <w:tr w:rsidR="00834E21" w14:paraId="1BCA27A8" w14:textId="77777777">
        <w:tblPrEx>
          <w:tblCellMar>
            <w:top w:w="0" w:type="dxa"/>
            <w:bottom w:w="0" w:type="dxa"/>
          </w:tblCellMar>
        </w:tblPrEx>
        <w:tc>
          <w:tcPr>
            <w:tcW w:w="22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022AD4DD" w14:textId="77777777" w:rsidR="00834E21" w:rsidRDefault="00000000">
            <w:r>
              <w:rPr>
                <w:color w:val="1A1A1A"/>
                <w:sz w:val="22"/>
                <w:szCs w:val="22"/>
              </w:rPr>
              <w:lastRenderedPageBreak/>
              <w:t>NASSM Conference</w:t>
            </w:r>
          </w:p>
        </w:tc>
        <w:tc>
          <w:tcPr>
            <w:tcW w:w="22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4034C98C" w14:textId="77777777" w:rsidR="00834E21" w:rsidRDefault="00000000">
            <w:r>
              <w:rPr>
                <w:color w:val="1A1A1A"/>
                <w:sz w:val="22"/>
                <w:szCs w:val="22"/>
              </w:rPr>
              <w:t>Academic-practitioner bridge, research sharing</w:t>
            </w:r>
          </w:p>
        </w:tc>
        <w:tc>
          <w:tcPr>
            <w:tcW w:w="208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4424E098" w14:textId="77777777" w:rsidR="00834E21" w:rsidRDefault="00000000">
            <w:r>
              <w:rPr>
                <w:color w:val="1A1A1A"/>
                <w:sz w:val="22"/>
                <w:szCs w:val="22"/>
              </w:rPr>
              <w:t>Review program, prepare questions</w:t>
            </w:r>
          </w:p>
        </w:tc>
        <w:tc>
          <w:tcPr>
            <w:tcW w:w="288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55C904CE" w14:textId="77777777" w:rsidR="00834E21" w:rsidRDefault="00000000">
            <w:r>
              <w:rPr>
                <w:color w:val="1A1A1A"/>
                <w:sz w:val="22"/>
                <w:szCs w:val="22"/>
              </w:rPr>
              <w:t>Share your research or relevant work</w:t>
            </w:r>
          </w:p>
        </w:tc>
      </w:tr>
      <w:tr w:rsidR="00834E21" w14:paraId="6828DA6E" w14:textId="77777777">
        <w:tblPrEx>
          <w:tblCellMar>
            <w:top w:w="0" w:type="dxa"/>
            <w:bottom w:w="0" w:type="dxa"/>
          </w:tblCellMar>
        </w:tblPrEx>
        <w:tc>
          <w:tcPr>
            <w:tcW w:w="22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3560232F" w14:textId="77777777" w:rsidR="00834E21" w:rsidRDefault="00000000">
            <w:r>
              <w:rPr>
                <w:color w:val="1A1A1A"/>
                <w:sz w:val="22"/>
                <w:szCs w:val="22"/>
              </w:rPr>
              <w:t>Informational Interview</w:t>
            </w:r>
          </w:p>
        </w:tc>
        <w:tc>
          <w:tcPr>
            <w:tcW w:w="220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4432A308" w14:textId="77777777" w:rsidR="00834E21" w:rsidRDefault="00000000">
            <w:r>
              <w:rPr>
                <w:color w:val="1A1A1A"/>
                <w:sz w:val="22"/>
                <w:szCs w:val="22"/>
              </w:rPr>
              <w:t>Deep professional mentorship and career intelligence</w:t>
            </w:r>
          </w:p>
        </w:tc>
        <w:tc>
          <w:tcPr>
            <w:tcW w:w="20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65A54564" w14:textId="77777777" w:rsidR="00834E21" w:rsidRDefault="00000000">
            <w:r>
              <w:rPr>
                <w:color w:val="1A1A1A"/>
                <w:sz w:val="22"/>
                <w:szCs w:val="22"/>
              </w:rPr>
              <w:t>Research professional background thoroughly</w:t>
            </w:r>
          </w:p>
        </w:tc>
        <w:tc>
          <w:tcPr>
            <w:tcW w:w="2880" w:type="dxa"/>
            <w:tcBorders>
              <w:top w:val="single" w:sz="2" w:space="0" w:color="CCCCCC"/>
              <w:left w:val="none" w:sz="0" w:space="0" w:color="FFFFFF"/>
              <w:bottom w:val="single" w:sz="2" w:space="0" w:color="CCCCCC"/>
              <w:right w:val="none" w:sz="0" w:space="0" w:color="FFFFFF"/>
            </w:tcBorders>
            <w:shd w:val="clear" w:color="auto" w:fill="EEF2F7"/>
            <w:tcMar>
              <w:top w:w="100" w:type="dxa"/>
              <w:left w:w="140" w:type="dxa"/>
              <w:bottom w:w="100" w:type="dxa"/>
              <w:right w:w="140" w:type="dxa"/>
            </w:tcMar>
            <w:vAlign w:val="center"/>
          </w:tcPr>
          <w:p w14:paraId="10640537" w14:textId="77777777" w:rsidR="00834E21" w:rsidRDefault="00000000">
            <w:r>
              <w:rPr>
                <w:color w:val="1A1A1A"/>
                <w:sz w:val="22"/>
                <w:szCs w:val="22"/>
              </w:rPr>
              <w:t>Thank-you note; share relevant update in 30 days</w:t>
            </w:r>
          </w:p>
        </w:tc>
      </w:tr>
      <w:tr w:rsidR="00834E21" w14:paraId="1DAF21D0" w14:textId="77777777">
        <w:tblPrEx>
          <w:tblCellMar>
            <w:top w:w="0" w:type="dxa"/>
            <w:bottom w:w="0" w:type="dxa"/>
          </w:tblCellMar>
        </w:tblPrEx>
        <w:tc>
          <w:tcPr>
            <w:tcW w:w="22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0250AACC" w14:textId="77777777" w:rsidR="00834E21" w:rsidRDefault="00000000">
            <w:r>
              <w:rPr>
                <w:color w:val="1A1A1A"/>
                <w:sz w:val="22"/>
                <w:szCs w:val="22"/>
              </w:rPr>
              <w:t>WISE Conference</w:t>
            </w:r>
          </w:p>
        </w:tc>
        <w:tc>
          <w:tcPr>
            <w:tcW w:w="220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6BB4F8BF" w14:textId="77777777" w:rsidR="00834E21" w:rsidRDefault="00000000">
            <w:r>
              <w:rPr>
                <w:color w:val="1A1A1A"/>
                <w:sz w:val="22"/>
                <w:szCs w:val="22"/>
              </w:rPr>
              <w:t>Women in sport leadership network</w:t>
            </w:r>
          </w:p>
        </w:tc>
        <w:tc>
          <w:tcPr>
            <w:tcW w:w="208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18B7B0C7" w14:textId="77777777" w:rsidR="00834E21" w:rsidRDefault="00000000">
            <w:r>
              <w:rPr>
                <w:color w:val="1A1A1A"/>
                <w:sz w:val="22"/>
                <w:szCs w:val="22"/>
              </w:rPr>
              <w:t>Engage with speaker topics in advance</w:t>
            </w:r>
          </w:p>
        </w:tc>
        <w:tc>
          <w:tcPr>
            <w:tcW w:w="2880" w:type="dxa"/>
            <w:tcBorders>
              <w:top w:val="single" w:sz="2" w:space="0" w:color="CCCCCC"/>
              <w:left w:val="none" w:sz="0" w:space="0" w:color="FFFFFF"/>
              <w:bottom w:val="single" w:sz="2" w:space="0" w:color="CCCCCC"/>
              <w:right w:val="none" w:sz="0" w:space="0" w:color="FFFFFF"/>
            </w:tcBorders>
            <w:shd w:val="clear" w:color="auto" w:fill="FFFFFF"/>
            <w:tcMar>
              <w:top w:w="100" w:type="dxa"/>
              <w:left w:w="140" w:type="dxa"/>
              <w:bottom w:w="100" w:type="dxa"/>
              <w:right w:w="140" w:type="dxa"/>
            </w:tcMar>
            <w:vAlign w:val="center"/>
          </w:tcPr>
          <w:p w14:paraId="5A057039" w14:textId="77777777" w:rsidR="00834E21" w:rsidRDefault="00000000">
            <w:r>
              <w:rPr>
                <w:color w:val="1A1A1A"/>
                <w:sz w:val="22"/>
                <w:szCs w:val="22"/>
              </w:rPr>
              <w:t>Join WISE membership; stay connected</w:t>
            </w:r>
          </w:p>
        </w:tc>
      </w:tr>
    </w:tbl>
    <w:p w14:paraId="62B0D9A4" w14:textId="77777777" w:rsidR="00834E21" w:rsidRDefault="00000000">
      <w:pPr>
        <w:spacing w:before="80" w:after="200"/>
      </w:pPr>
      <w:r>
        <w:rPr>
          <w:i/>
          <w:iCs/>
          <w:color w:val="666666"/>
          <w:sz w:val="20"/>
          <w:szCs w:val="20"/>
        </w:rPr>
        <w:t>Note. NACDA = National Association of Collegiate Directors of Athletics; NASSM = North American Society for Sport Management; WISE = Women in Sports and Events.</w:t>
      </w:r>
    </w:p>
    <w:p w14:paraId="359A4172" w14:textId="77777777" w:rsidR="00834E21" w:rsidRDefault="00000000">
      <w:pPr>
        <w:pStyle w:val="Heading2"/>
        <w:spacing w:after="120"/>
      </w:pPr>
      <w:r>
        <w:t>8.3 Conference Preparation Strategies</w:t>
      </w:r>
    </w:p>
    <w:p w14:paraId="79CD7639" w14:textId="77777777" w:rsidR="00834E21" w:rsidRDefault="00000000">
      <w:pPr>
        <w:spacing w:after="160" w:line="360" w:lineRule="auto"/>
        <w:ind w:firstLine="720"/>
        <w:jc w:val="both"/>
      </w:pPr>
      <w:r>
        <w:t>Industry conferences relevant to sport management graduate students span a wide range from broadly focused gatherings of the full sport management field, such as the North American Society for Sport Management (NASSM) Conference, to highly specialized events focused on specific sectors, such as the National Sports Forum, the National Association of Collegiate Directors of Athletics (NACDA) Convention, and the Women in Sports and Events (WISE) national conference. Each offers a different mix of educational programming, networking opportunities, and career exposure, and graduate students benefit from understanding these differences when allocating their professional development resources.</w:t>
      </w:r>
    </w:p>
    <w:p w14:paraId="5A3D514E" w14:textId="77777777" w:rsidR="00834E21" w:rsidRDefault="00000000">
      <w:pPr>
        <w:spacing w:after="160" w:line="360" w:lineRule="auto"/>
        <w:ind w:firstLine="720"/>
        <w:jc w:val="both"/>
      </w:pPr>
      <w:r>
        <w:t>The NACDA Convention, held annually in conjunction with several affiliated organizations, is the largest gathering of collegiate athletics professionals in the country and provides an unparalleled opportunity for graduate students to connect with athletic directors, associate athletic directors, and other senior leaders from programs across all NCAA divisions. Graduate programs that send cohorts of students to this and similar conventions, providing preparation workshops, structured networking assignments, and debriefing sessions, generate significantly greater networking value than those that send students individually without preparation.</w:t>
      </w:r>
    </w:p>
    <w:p w14:paraId="7D650D0D" w14:textId="77777777" w:rsidR="00834E21" w:rsidRDefault="00000000">
      <w:pPr>
        <w:spacing w:after="160" w:line="360" w:lineRule="auto"/>
        <w:ind w:firstLine="720"/>
        <w:jc w:val="both"/>
      </w:pPr>
      <w:r>
        <w:t xml:space="preserve">Preparation for a major industry conference should begin weeks in advance with a review of the speaker program, exhibitor list, and attendee directory if available. Graduate students should </w:t>
      </w:r>
      <w:r>
        <w:lastRenderedPageBreak/>
        <w:t>identify at minimum five to ten specific individuals they wish to meet, research their professional backgrounds and recent work, and prepare genuine questions that demonstrate informed interest. They should also prepare a confident, concise professional introduction that communicates their current academic program, research interests, applied learning experiences, and professional aspirations. The ability to introduce oneself effectively in a professional context is a fundamental competency that requires both preparation and practice.</w:t>
      </w:r>
    </w:p>
    <w:p w14:paraId="28B2A542" w14:textId="77777777" w:rsidR="00834E21" w:rsidRDefault="00000000">
      <w:pPr>
        <w:pStyle w:val="Heading2"/>
        <w:spacing w:after="120"/>
      </w:pPr>
      <w:r>
        <w:t>8.4 Social Media Networking</w:t>
      </w:r>
    </w:p>
    <w:p w14:paraId="687AA047" w14:textId="77777777" w:rsidR="00834E21" w:rsidRDefault="00000000">
      <w:pPr>
        <w:spacing w:after="160" w:line="360" w:lineRule="auto"/>
        <w:ind w:firstLine="720"/>
        <w:jc w:val="both"/>
      </w:pPr>
      <w:r>
        <w:t>Social media platforms, particularly LinkedIn, have transformed the geography and accessibility of professional networking in sport management and across industries. LinkedIn enables graduate students to build a professional profile that serves as a digital resume and portfolio, to identify and connect with sport industry professionals at every career stage, to engage with industry content and conversations, to signal professional interests and competencies, and to research potential employers and contacts in preparation for in-person networking. Used intentionally, LinkedIn is one of the most powerful career development tools available to sport management graduate students.</w:t>
      </w:r>
    </w:p>
    <w:p w14:paraId="4363B2B0" w14:textId="77777777" w:rsidR="00834E21" w:rsidRDefault="00000000">
      <w:pPr>
        <w:spacing w:after="160" w:line="360" w:lineRule="auto"/>
        <w:ind w:firstLine="720"/>
        <w:jc w:val="both"/>
      </w:pPr>
      <w:r>
        <w:t xml:space="preserve">Smolarek and </w:t>
      </w:r>
      <w:proofErr w:type="spellStart"/>
      <w:r>
        <w:t>Dziendziora</w:t>
      </w:r>
      <w:proofErr w:type="spellEnd"/>
      <w:r>
        <w:t xml:space="preserve"> (2022) found that the emergence of social media made online positioning a key factor determining career success, and that personal branding through social media is increasingly important for professionals seeking to develop their careers. This finding underscores the importance of maintaining an active, professional, and authentic LinkedIn presence as a complement to in-person networking. Graduate students who develop a coherent and compelling LinkedIn profile early in their academic careers build digital visibility that compounds over time, making them more discoverable to recruiters and more credible to professionals they meet at conferences and events.</w:t>
      </w:r>
    </w:p>
    <w:p w14:paraId="62CADD2E" w14:textId="77777777" w:rsidR="00834E21" w:rsidRDefault="00000000">
      <w:pPr>
        <w:spacing w:after="160" w:line="360" w:lineRule="auto"/>
        <w:ind w:firstLine="720"/>
        <w:jc w:val="both"/>
      </w:pPr>
      <w:r>
        <w:t xml:space="preserve">Beyond LinkedIn, Twitter (now X), Instagram, and emerging platforms play varying roles in sport industry professional networking depending on the sector and functional area. Sport communications professionals may find Twitter particularly valuable for demonstrating media literacy and engaging with industry conversations. Sport marketing professionals may find Instagram useful for showcasing creative work and engaging with brand communities. Graduate students benefit from developing a thoughtful, intentional approach to their digital presence across </w:t>
      </w:r>
      <w:r>
        <w:lastRenderedPageBreak/>
        <w:t>platforms, ensuring that all content they create and share is consistent with the professional identity they are developing and the career goals they are pursuing.</w:t>
      </w:r>
    </w:p>
    <w:p w14:paraId="1B942659"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34E094A5"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1D8FE8BE"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The Follow-Up That Created a Career</w:t>
            </w:r>
          </w:p>
        </w:tc>
      </w:tr>
      <w:tr w:rsidR="00834E21" w14:paraId="4791F878"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26B34CB1" w14:textId="77777777" w:rsidR="00834E21" w:rsidRDefault="00000000">
            <w:pPr>
              <w:spacing w:line="320" w:lineRule="auto"/>
              <w:jc w:val="both"/>
            </w:pPr>
            <w:r>
              <w:rPr>
                <w:color w:val="1A1A1A"/>
                <w:sz w:val="22"/>
                <w:szCs w:val="22"/>
              </w:rPr>
              <w:t>A sponsorship manager at a major sports commission told this story to a group of graduate networking students: I met my current boss at a sports business conference when I was still in graduate school. I sent her a follow-up email the next morning that referenced a specific point she had made about the evolution of naming rights deals. Six weeks later, she reached out to me about an opening on her team. She told me later that I was the only student from that conference who sent a follow-up that proved I had actually listened. Olsen and LaGree (2023) documented in their research on early-career professional relationship building that the quality of follow-up interactions, not the volume of contacts made, is what transforms conference encounters into lasting professional relationships. Every conference you attend and every informational interview you conduct is only as valuable as the follow-up you invest in it.</w:t>
            </w:r>
          </w:p>
        </w:tc>
      </w:tr>
    </w:tbl>
    <w:p w14:paraId="45F5E916" w14:textId="77777777" w:rsidR="00834E21" w:rsidRDefault="00834E21">
      <w:pPr>
        <w:spacing w:before="200"/>
      </w:pPr>
    </w:p>
    <w:p w14:paraId="05FBD480" w14:textId="77777777" w:rsidR="00834E21" w:rsidRDefault="00000000">
      <w:pPr>
        <w:pStyle w:val="Heading2"/>
        <w:spacing w:after="120"/>
      </w:pPr>
      <w:r>
        <w:t>8.5 Informational Interviews</w:t>
      </w:r>
    </w:p>
    <w:p w14:paraId="2913EE5F" w14:textId="77777777" w:rsidR="00834E21" w:rsidRDefault="00000000">
      <w:pPr>
        <w:spacing w:after="160" w:line="360" w:lineRule="auto"/>
        <w:ind w:firstLine="720"/>
        <w:jc w:val="both"/>
      </w:pPr>
      <w:r>
        <w:t>The informational interview is one of the most underutilized and most valuable networking tools available to graduate students. Unlike a job interview, an informational interview is a conversation in which the student requests a professional's time and expertise for the purpose of learning about their career pathway, their organization, and their professional insights. It creates no obligation on the part of the professional and provides genuine career intelligence that cannot be obtained from organizational websites, job descriptions, or even formal coursework.</w:t>
      </w:r>
    </w:p>
    <w:p w14:paraId="7CAC6B01" w14:textId="77777777" w:rsidR="00834E21" w:rsidRDefault="00000000">
      <w:pPr>
        <w:spacing w:after="160" w:line="360" w:lineRule="auto"/>
        <w:ind w:firstLine="720"/>
        <w:jc w:val="both"/>
      </w:pPr>
      <w:proofErr w:type="spellStart"/>
      <w:r>
        <w:t>Mujika</w:t>
      </w:r>
      <w:proofErr w:type="spellEnd"/>
      <w:r>
        <w:t xml:space="preserve"> and Leo (2024) described mentorship as providing advice, support, and insights based on the mentor's own experience, which is precisely what an informational interview seeks to access. While a formal mentoring relationship involves sustained engagement over time, an informational interview is a more accessible starting point that can eventually develop into mentorship if both parties find the interaction valuable. Graduate students who conduct regular informational interviews throughout their academic preparation build not only knowledge but a growing network of professionals who have invested attention in their development and are therefore more likely to provide future assistance.</w:t>
      </w:r>
    </w:p>
    <w:p w14:paraId="7D9203EA" w14:textId="77777777" w:rsidR="00834E21" w:rsidRDefault="00000000">
      <w:pPr>
        <w:spacing w:after="160" w:line="360" w:lineRule="auto"/>
        <w:ind w:firstLine="720"/>
        <w:jc w:val="both"/>
      </w:pPr>
      <w:r>
        <w:lastRenderedPageBreak/>
        <w:t>Effective informational interviews require both preparation and genuine curiosity. Students should research the professional's background thoroughly before the conversation, prepare specific questions that cannot be answered through publicly available information, listen actively and take notes, express genuine appreciation for the professional's time, and follow up promptly with a personalized thank-you. The most valuable informational interview questions probe the professional's reflection on their own career development, the skills and experiences that most prepared them for their current role, the aspects of their work they find most meaningful and most challenging, and the advice they would give to a graduate student aspiring to enter their field.</w:t>
      </w:r>
    </w:p>
    <w:p w14:paraId="65AD2044" w14:textId="77777777" w:rsidR="00834E21" w:rsidRDefault="00000000">
      <w:pPr>
        <w:spacing w:after="160" w:line="360" w:lineRule="auto"/>
        <w:ind w:firstLine="720"/>
        <w:jc w:val="both"/>
      </w:pPr>
      <w:r>
        <w:t>The phenomenon of alumni network activation represents one of the most underutilized networking resources available to sport management graduate students. Most graduate programs maintain alumni databases and platforms that provide direct access to professionals who share a common institutional identity and are therefore more predisposed to invest time in students from their alma mater than in cold contacts. Cosentino et al. (2021) found that networking was among the most critical factors distinguishing sport professionals who advanced to senior leadership from those who plateaued at mid-career levels, and that access to networks of more senior professionals was a consistent differentiator.</w:t>
      </w:r>
    </w:p>
    <w:p w14:paraId="3DBBBF13" w14:textId="77777777" w:rsidR="00834E21" w:rsidRDefault="00000000">
      <w:pPr>
        <w:spacing w:after="160" w:line="360" w:lineRule="auto"/>
        <w:ind w:firstLine="720"/>
        <w:jc w:val="both"/>
      </w:pPr>
      <w:r>
        <w:t>The culture of professional networking in sport management is shaped by a relatively small and interconnected professional community in which reputation travels quickly and relationship quality matters enormously. Unlike industries where professionals routinely change contexts and rebuild networks from scratch, sport management professionals tend to remain within a relatively bounded ecosystem where former colleagues, supervisors, and mentors continue to interact professionally for decades. This structural feature of the industry makes integrity of professional conduct in networking particularly consequential: the graduate student who fails to follow through on a commitment made to a professional contact will carry the reputational cost of that behavior throughout a career arc that is likely to bring them into contact with those same individuals again and again.</w:t>
      </w:r>
    </w:p>
    <w:p w14:paraId="669E04BB" w14:textId="77777777" w:rsidR="00834E21" w:rsidRDefault="00000000">
      <w:pPr>
        <w:pStyle w:val="Heading2"/>
        <w:spacing w:after="120"/>
      </w:pPr>
      <w:r>
        <w:t>8.6 Networking Across Generations and Backgrounds</w:t>
      </w:r>
    </w:p>
    <w:p w14:paraId="5728690D" w14:textId="77777777" w:rsidR="00834E21" w:rsidRDefault="00000000">
      <w:pPr>
        <w:spacing w:after="160" w:line="360" w:lineRule="auto"/>
        <w:ind w:firstLine="720"/>
        <w:jc w:val="both"/>
      </w:pPr>
      <w:r>
        <w:t xml:space="preserve">Effective professional networking requires the ability to engage authentically and comfortably with professionals who differ from oneself in age, background, gender, race, cultural heritage, and professional experience. For sport management graduate students, this capacity for </w:t>
      </w:r>
      <w:r>
        <w:lastRenderedPageBreak/>
        <w:t>cross-generational and cross-cultural networking is particularly important because the sport industry workforce spans multiple generations with distinct communication preferences, career narratives, and professional values. Senior executives who began their careers before the internet require different conversational approaches than early-career professionals who have grown up in the digital era.</w:t>
      </w:r>
    </w:p>
    <w:p w14:paraId="4452FFDF" w14:textId="77777777" w:rsidR="00834E21" w:rsidRDefault="00000000">
      <w:pPr>
        <w:spacing w:after="160" w:line="360" w:lineRule="auto"/>
        <w:ind w:firstLine="720"/>
        <w:jc w:val="both"/>
      </w:pPr>
      <w:r>
        <w:t>Cosentino et al. (2021) found that many women in senior sport leadership positions had male mentors who played important roles in their career advancement, particularly in introducing them to key decision-makers and buffering them from biased decisions. This observation suggests that cross-gender professional relationships can be particularly valuable sources of sponsorship and advocacy in an industry where senior leadership remains predominantly male. Graduate students of all backgrounds benefit from developing the interpersonal skills to build authentic professional relationships across demographic differences, approaching these relationships with curiosity, respect, and genuine reciprocity.</w:t>
      </w:r>
    </w:p>
    <w:p w14:paraId="3F2EFA49" w14:textId="77777777" w:rsidR="00834E21" w:rsidRDefault="00000000">
      <w:pPr>
        <w:spacing w:after="160" w:line="360" w:lineRule="auto"/>
        <w:ind w:firstLine="720"/>
        <w:jc w:val="both"/>
      </w:pPr>
      <w:r>
        <w:t>Building a professional network that reflects the full diversity of the sport management landscape also makes practical strategic sense. The sport industry, like most professional fields, is characterized by strong in-group networks that can advantage insiders and disadvantage newcomers. Graduate students who intentionally develop diverse professional networks, connecting with professionals across organizational sectors, functional areas, geographic regions, and career stages, build a more robust and resilient professional support system than those whose networks are homogeneous. Diversity in one's professional network brings diverse perspectives, broader information access, and a wider range of potential advocates and sponsors.</w:t>
      </w:r>
    </w:p>
    <w:p w14:paraId="0844880F" w14:textId="77777777" w:rsidR="00834E21" w:rsidRDefault="00000000">
      <w:pPr>
        <w:pStyle w:val="Heading2"/>
        <w:spacing w:after="120"/>
      </w:pPr>
      <w:r>
        <w:t>8.7 Leveraging Experiential Learning into Employment</w:t>
      </w:r>
    </w:p>
    <w:p w14:paraId="48244A24" w14:textId="77777777" w:rsidR="00834E21" w:rsidRDefault="00000000">
      <w:pPr>
        <w:spacing w:after="160" w:line="360" w:lineRule="auto"/>
        <w:ind w:firstLine="720"/>
        <w:jc w:val="both"/>
      </w:pPr>
      <w:r>
        <w:t>The ultimate purpose of experiential learning, from a career development perspective, is to position graduate students for successful entry into professional employment and sustained career advancement. Achieving this goal requires that students approach each applied learning experience not only as an opportunity for skill development but as a platform for professional impression management, relationship building, and portfolio construction. The most successful transitions from student to professional status involve intentional efforts to leverage the specific knowledge, skills, network connections, and portfolio evidence generated by experiential learning into compelling employment candidacy.</w:t>
      </w:r>
    </w:p>
    <w:p w14:paraId="333D24BD" w14:textId="77777777" w:rsidR="00834E21" w:rsidRDefault="00000000">
      <w:pPr>
        <w:spacing w:after="160" w:line="360" w:lineRule="auto"/>
        <w:ind w:firstLine="720"/>
        <w:jc w:val="both"/>
      </w:pPr>
      <w:r>
        <w:lastRenderedPageBreak/>
        <w:t>Tiessen et al. (2019) found that alumni of experiential learning programs consistently reported a positive relationship between their applied learning experiences and their subsequent career outcomes, and that these relationships held across diverse career pathways and organizational contexts. This finding reflects the broad transferability of the competencies developed through well-designed experiential learning, confirming that the investment in applied practice during graduate study pays dividends across a wide range of subsequent career contexts.</w:t>
      </w:r>
    </w:p>
    <w:p w14:paraId="4BB74272" w14:textId="77777777" w:rsidR="00834E21" w:rsidRDefault="00000000">
      <w:pPr>
        <w:spacing w:after="160" w:line="360" w:lineRule="auto"/>
        <w:ind w:firstLine="720"/>
        <w:jc w:val="both"/>
      </w:pPr>
      <w:r>
        <w:t>Odio and Menaker (2023) cautioned that the dominant career-focused discourse in sport management experiential learning tends to prioritize industry-specific employment preparation over the development of transferable, transformational competencies that would equip graduates to challenge and advance the field. The healthiest approach to leveraging experiential learning for employment recognizes both dimensions: that specific industry competencies and connections generate immediate career opportunities, and that broader adaptive competencies and critical perspectives generate long-term career resilience and professional impact. Graduate students who develop both will navigate the early career transition successfully while positioning themselves for sustained growth and contribution.</w:t>
      </w:r>
    </w:p>
    <w:p w14:paraId="65FB7287" w14:textId="165FBD99" w:rsidR="00834E21" w:rsidRDefault="00000000">
      <w:pPr>
        <w:pStyle w:val="Heading2"/>
        <w:spacing w:after="120"/>
      </w:pPr>
      <w:r>
        <w:t>Discussion Questions</w:t>
      </w:r>
    </w:p>
    <w:p w14:paraId="7A65A35E" w14:textId="77777777" w:rsidR="00834E21" w:rsidRDefault="00000000">
      <w:pPr>
        <w:spacing w:before="100" w:after="60" w:line="320" w:lineRule="auto"/>
        <w:ind w:left="720" w:hanging="360"/>
        <w:jc w:val="both"/>
      </w:pPr>
      <w:r>
        <w:rPr>
          <w:b/>
          <w:bCs/>
          <w:sz w:val="22"/>
          <w:szCs w:val="22"/>
        </w:rPr>
        <w:t xml:space="preserve">1. </w:t>
      </w:r>
      <w:r>
        <w:rPr>
          <w:sz w:val="22"/>
          <w:szCs w:val="22"/>
        </w:rPr>
        <w:t>Cosentino et al. (2021) found that women in senior sport leadership positions are nearly unanimous that most women in the industry do not effectively network. What structural and cultural factors explain this pattern, and what obligations do sport management programs and professional organizations have to address it?</w:t>
      </w:r>
    </w:p>
    <w:p w14:paraId="283956CB" w14:textId="77777777" w:rsidR="00834E21" w:rsidRDefault="00000000">
      <w:pPr>
        <w:spacing w:before="100" w:after="60" w:line="320" w:lineRule="auto"/>
        <w:ind w:left="720" w:hanging="360"/>
        <w:jc w:val="both"/>
      </w:pPr>
      <w:r>
        <w:rPr>
          <w:b/>
          <w:bCs/>
          <w:sz w:val="22"/>
          <w:szCs w:val="22"/>
        </w:rPr>
        <w:t xml:space="preserve">2. </w:t>
      </w:r>
      <w:r>
        <w:rPr>
          <w:sz w:val="22"/>
          <w:szCs w:val="22"/>
        </w:rPr>
        <w:t xml:space="preserve">Smolarek and </w:t>
      </w:r>
      <w:proofErr w:type="spellStart"/>
      <w:r>
        <w:rPr>
          <w:sz w:val="22"/>
          <w:szCs w:val="22"/>
        </w:rPr>
        <w:t>Dziendziora</w:t>
      </w:r>
      <w:proofErr w:type="spellEnd"/>
      <w:r>
        <w:rPr>
          <w:sz w:val="22"/>
          <w:szCs w:val="22"/>
        </w:rPr>
        <w:t xml:space="preserve"> (2022) found that social media has made online positioning a key factor in career success. How should sport management graduate students balance the time investment required to build and maintain a strong digital professional presence against the competing demands of coursework, applied learning, and personal life?</w:t>
      </w:r>
    </w:p>
    <w:p w14:paraId="3AC37726" w14:textId="77777777" w:rsidR="00834E21" w:rsidRDefault="00000000">
      <w:pPr>
        <w:spacing w:before="100" w:after="60" w:line="320" w:lineRule="auto"/>
        <w:ind w:left="720" w:hanging="360"/>
        <w:jc w:val="both"/>
      </w:pPr>
      <w:r>
        <w:rPr>
          <w:b/>
          <w:bCs/>
          <w:sz w:val="22"/>
          <w:szCs w:val="22"/>
        </w:rPr>
        <w:t xml:space="preserve">3. </w:t>
      </w:r>
      <w:proofErr w:type="spellStart"/>
      <w:r>
        <w:rPr>
          <w:sz w:val="22"/>
          <w:szCs w:val="22"/>
        </w:rPr>
        <w:t>Mujika</w:t>
      </w:r>
      <w:proofErr w:type="spellEnd"/>
      <w:r>
        <w:rPr>
          <w:sz w:val="22"/>
          <w:szCs w:val="22"/>
        </w:rPr>
        <w:t xml:space="preserve"> and Leo (2024) distinguished between mentorship and sponsorship. Drawing on the networking literature, how would you specifically cultivate sponsoring relationships, as opposed to mentoring relationships, during a graduate assistantship in collegiate athletics?</w:t>
      </w:r>
    </w:p>
    <w:p w14:paraId="77BEB8A1" w14:textId="77777777" w:rsidR="00834E21" w:rsidRDefault="00000000">
      <w:pPr>
        <w:spacing w:before="100" w:after="60" w:line="320" w:lineRule="auto"/>
        <w:ind w:left="720" w:hanging="360"/>
        <w:jc w:val="both"/>
      </w:pPr>
      <w:r>
        <w:rPr>
          <w:b/>
          <w:bCs/>
          <w:sz w:val="22"/>
          <w:szCs w:val="22"/>
        </w:rPr>
        <w:t xml:space="preserve">4. </w:t>
      </w:r>
      <w:r>
        <w:rPr>
          <w:sz w:val="22"/>
          <w:szCs w:val="22"/>
        </w:rPr>
        <w:t>Tiessen et al. (2019) found a positive relationship between experiential learning and career outcomes across diverse career pathways, not just those directly related to the applied learning context. What mechanisms explain this cross-contextual transferability, and how can graduate students maximize the transferability of their experiential learning?</w:t>
      </w:r>
    </w:p>
    <w:p w14:paraId="6ABDF1CB" w14:textId="77777777" w:rsidR="00834E21" w:rsidRDefault="00000000">
      <w:pPr>
        <w:spacing w:before="100" w:after="60" w:line="320" w:lineRule="auto"/>
        <w:ind w:left="720" w:hanging="360"/>
        <w:jc w:val="both"/>
      </w:pPr>
      <w:r>
        <w:rPr>
          <w:b/>
          <w:bCs/>
          <w:sz w:val="22"/>
          <w:szCs w:val="22"/>
        </w:rPr>
        <w:lastRenderedPageBreak/>
        <w:t xml:space="preserve">5. </w:t>
      </w:r>
      <w:r>
        <w:rPr>
          <w:sz w:val="22"/>
          <w:szCs w:val="22"/>
        </w:rPr>
        <w:t>Building an authentic professional network requires genuine reciprocity, not merely strategic self-interest. How do you balance the strategic dimension of professional networking with the ethical obligation to contribute genuine value to the professionals and communities with which you network?</w:t>
      </w:r>
    </w:p>
    <w:p w14:paraId="5AE9F64B" w14:textId="71F94230" w:rsidR="00834E21" w:rsidRDefault="00000000" w:rsidP="00D5035A">
      <w:pPr>
        <w:pStyle w:val="Heading2"/>
        <w:spacing w:after="120"/>
      </w:pPr>
      <w:r>
        <w:t>Reflection Practices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7"/>
        <w:gridCol w:w="7743"/>
      </w:tblGrid>
      <w:tr w:rsidR="00834E21" w14:paraId="351E1E58"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478F9B43" w14:textId="77777777" w:rsidR="00834E21" w:rsidRDefault="00000000">
            <w:pPr>
              <w:jc w:val="center"/>
            </w:pPr>
            <w:r>
              <w:rPr>
                <w:rFonts w:ascii="Arial" w:eastAsia="Arial" w:hAnsi="Arial" w:cs="Arial"/>
                <w:b/>
                <w:bCs/>
                <w:color w:val="2E4057"/>
                <w:sz w:val="28"/>
                <w:szCs w:val="28"/>
              </w:rPr>
              <w:t>1</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6B444529" w14:textId="77777777" w:rsidR="00834E21" w:rsidRDefault="00000000">
            <w:pPr>
              <w:spacing w:line="300" w:lineRule="auto"/>
              <w:jc w:val="both"/>
            </w:pPr>
            <w:r>
              <w:rPr>
                <w:b/>
                <w:bCs/>
                <w:color w:val="2E4057"/>
                <w:sz w:val="22"/>
                <w:szCs w:val="22"/>
              </w:rPr>
              <w:t xml:space="preserve">Professional Network Map: Create a comprehensive visual map of your current professional network, organizing contacts by relationship type (mentor, sponsor, peer, informational contact), organizational sector, functional area, and career stage. </w:t>
            </w:r>
            <w:r>
              <w:rPr>
                <w:color w:val="1A1A1A"/>
                <w:sz w:val="22"/>
                <w:szCs w:val="22"/>
              </w:rPr>
              <w:t>Identify gaps and develop a specific plan for addressing them through intentional networking activities over the next six months.</w:t>
            </w:r>
          </w:p>
        </w:tc>
      </w:tr>
      <w:tr w:rsidR="00834E21" w14:paraId="272381D0"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5F7EF7C0" w14:textId="77777777" w:rsidR="00834E21" w:rsidRDefault="00000000">
            <w:pPr>
              <w:jc w:val="center"/>
            </w:pPr>
            <w:r>
              <w:rPr>
                <w:rFonts w:ascii="Arial" w:eastAsia="Arial" w:hAnsi="Arial" w:cs="Arial"/>
                <w:b/>
                <w:bCs/>
                <w:color w:val="2E4057"/>
                <w:sz w:val="28"/>
                <w:szCs w:val="28"/>
              </w:rPr>
              <w:t>2</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24F35C2A" w14:textId="77777777" w:rsidR="00834E21" w:rsidRDefault="00000000">
            <w:pPr>
              <w:spacing w:line="300" w:lineRule="auto"/>
              <w:jc w:val="both"/>
            </w:pPr>
            <w:r>
              <w:rPr>
                <w:b/>
                <w:bCs/>
                <w:color w:val="2E4057"/>
                <w:sz w:val="22"/>
                <w:szCs w:val="22"/>
              </w:rPr>
              <w:t xml:space="preserve">Informational Interview Series: Conduct a minimum of three informational interviews with sport management professionals in different organizational sectors and functional areas over the course of this semester. </w:t>
            </w:r>
            <w:r>
              <w:rPr>
                <w:color w:val="1A1A1A"/>
                <w:sz w:val="22"/>
                <w:szCs w:val="22"/>
              </w:rPr>
              <w:t>For each interview, prepare at least five questions, document the key insights, and write a 300-word reflection connecting the professional's insights to the material from this chapter and your own career development goals.</w:t>
            </w:r>
          </w:p>
        </w:tc>
      </w:tr>
      <w:tr w:rsidR="00834E21" w14:paraId="0605AFBA"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1837D824" w14:textId="77777777" w:rsidR="00834E21" w:rsidRDefault="00000000">
            <w:pPr>
              <w:jc w:val="center"/>
            </w:pPr>
            <w:r>
              <w:rPr>
                <w:rFonts w:ascii="Arial" w:eastAsia="Arial" w:hAnsi="Arial" w:cs="Arial"/>
                <w:b/>
                <w:bCs/>
                <w:color w:val="2E4057"/>
                <w:sz w:val="28"/>
                <w:szCs w:val="28"/>
              </w:rPr>
              <w:t>3</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316B8CCF" w14:textId="77777777" w:rsidR="00834E21" w:rsidRDefault="00000000">
            <w:pPr>
              <w:spacing w:line="300" w:lineRule="auto"/>
              <w:jc w:val="both"/>
            </w:pPr>
            <w:r>
              <w:rPr>
                <w:b/>
                <w:bCs/>
                <w:color w:val="2E4057"/>
                <w:sz w:val="22"/>
                <w:szCs w:val="22"/>
              </w:rPr>
              <w:t xml:space="preserve">LinkedIn Profile Audit and Enhancement: Audit your current LinkedIn profile against professional benchmarks, assessing the quality of your summary, experience descriptions, skill endorsements, recommendations, and engagement with industry content. </w:t>
            </w:r>
            <w:r>
              <w:rPr>
                <w:color w:val="1A1A1A"/>
                <w:sz w:val="22"/>
                <w:szCs w:val="22"/>
              </w:rPr>
              <w:t>Develop and implement a specific enhancement plan, including at least three meaningful connection requests, two pieces of original content, and one engagement with an industry thought leader's post.</w:t>
            </w:r>
          </w:p>
        </w:tc>
      </w:tr>
      <w:tr w:rsidR="00834E21" w14:paraId="1DA4642E"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233333D6" w14:textId="77777777" w:rsidR="00834E21" w:rsidRDefault="00000000">
            <w:pPr>
              <w:jc w:val="center"/>
            </w:pPr>
            <w:r>
              <w:rPr>
                <w:rFonts w:ascii="Arial" w:eastAsia="Arial" w:hAnsi="Arial" w:cs="Arial"/>
                <w:b/>
                <w:bCs/>
                <w:color w:val="2E4057"/>
                <w:sz w:val="28"/>
                <w:szCs w:val="28"/>
              </w:rPr>
              <w:t>4</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7E58543B" w14:textId="77777777" w:rsidR="00834E21" w:rsidRDefault="00000000">
            <w:pPr>
              <w:spacing w:line="300" w:lineRule="auto"/>
              <w:jc w:val="both"/>
            </w:pPr>
            <w:r>
              <w:rPr>
                <w:b/>
                <w:bCs/>
                <w:color w:val="2E4057"/>
                <w:sz w:val="22"/>
                <w:szCs w:val="22"/>
              </w:rPr>
              <w:t>Conference Preparation Plan: Develop a comprehensive preparation plan for a real or hypothetical industry conference, including a list of at least 10 individuals you wish to meet and why, a professional introduction script, five substantive questions prepared for specific individuals, a follow-up protocol, and a reflection framework for evaluating the networking value of the experience.</w:t>
            </w:r>
          </w:p>
        </w:tc>
      </w:tr>
      <w:tr w:rsidR="00834E21" w14:paraId="63957ECA"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46A3FF38" w14:textId="77777777" w:rsidR="00834E21" w:rsidRDefault="00000000">
            <w:pPr>
              <w:jc w:val="center"/>
            </w:pPr>
            <w:r>
              <w:rPr>
                <w:rFonts w:ascii="Arial" w:eastAsia="Arial" w:hAnsi="Arial" w:cs="Arial"/>
                <w:b/>
                <w:bCs/>
                <w:color w:val="2E4057"/>
                <w:sz w:val="28"/>
                <w:szCs w:val="28"/>
              </w:rPr>
              <w:t>5</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1C82DE43" w14:textId="77777777" w:rsidR="00834E21" w:rsidRDefault="00000000">
            <w:pPr>
              <w:spacing w:line="300" w:lineRule="auto"/>
              <w:jc w:val="both"/>
            </w:pPr>
            <w:r>
              <w:rPr>
                <w:b/>
                <w:bCs/>
                <w:color w:val="2E4057"/>
                <w:sz w:val="22"/>
                <w:szCs w:val="22"/>
              </w:rPr>
              <w:t xml:space="preserve">Networking Philosophy Statement: Write a 500-word networking philosophy statement articulating your core beliefs about authentic professional relationship building, your commitments to reciprocity and contribution in professional relationships, your specific networking goals for the next 12 months, and the strategies you will employ to pursue them. </w:t>
            </w:r>
            <w:r>
              <w:rPr>
                <w:color w:val="1A1A1A"/>
                <w:sz w:val="22"/>
                <w:szCs w:val="22"/>
              </w:rPr>
              <w:t>Revise this statement at the end of the semester based on what you learned through the reflection practices above.</w:t>
            </w:r>
          </w:p>
        </w:tc>
      </w:tr>
    </w:tbl>
    <w:p w14:paraId="792DEC0A" w14:textId="77777777" w:rsidR="00834E21" w:rsidRDefault="00834E21">
      <w:pPr>
        <w:spacing w:before="240"/>
      </w:pPr>
    </w:p>
    <w:p w14:paraId="32A73FC1" w14:textId="77777777" w:rsidR="00834E21" w:rsidRDefault="00000000">
      <w:pPr>
        <w:pStyle w:val="Heading2"/>
        <w:spacing w:after="120"/>
      </w:pPr>
      <w:r>
        <w:lastRenderedPageBreak/>
        <w:t>References</w:t>
      </w:r>
    </w:p>
    <w:p w14:paraId="5545A01C" w14:textId="77777777" w:rsidR="00834E21" w:rsidRDefault="00000000">
      <w:pPr>
        <w:spacing w:before="60" w:after="60" w:line="320" w:lineRule="auto"/>
        <w:ind w:left="720" w:hanging="720"/>
        <w:jc w:val="both"/>
      </w:pPr>
      <w:r>
        <w:rPr>
          <w:sz w:val="22"/>
          <w:szCs w:val="22"/>
        </w:rPr>
        <w:t>Cosentino, A. B., Weese, W. J., &amp; Wells, J. E. (2021). Strategies to advance women: Career insights from senior leadership women in professional sport in Canada. Frontiers in Sports and Active Living, 3. https://doi.org/10.3389/fspor.2021.716505</w:t>
      </w:r>
    </w:p>
    <w:p w14:paraId="6B1C3992" w14:textId="77777777" w:rsidR="00834E21" w:rsidRDefault="00000000">
      <w:pPr>
        <w:spacing w:before="60" w:after="60" w:line="320" w:lineRule="auto"/>
        <w:ind w:left="720" w:hanging="720"/>
        <w:jc w:val="both"/>
      </w:pPr>
      <w:r>
        <w:rPr>
          <w:sz w:val="22"/>
          <w:szCs w:val="22"/>
        </w:rPr>
        <w:t>Mujika, I., &amp; Leo, P. (2024). From mentorship to sponsorship in sport science. International Journal of Sports Physiology and Performance, 19(3), 221-222. https://doi.org/10.1123/ijspp.2023-0516</w:t>
      </w:r>
    </w:p>
    <w:p w14:paraId="34D9895B" w14:textId="77777777" w:rsidR="00834E21" w:rsidRDefault="00000000">
      <w:pPr>
        <w:spacing w:before="60" w:after="60" w:line="320" w:lineRule="auto"/>
        <w:ind w:left="720" w:hanging="720"/>
        <w:jc w:val="both"/>
      </w:pPr>
      <w:r>
        <w:rPr>
          <w:sz w:val="22"/>
          <w:szCs w:val="22"/>
        </w:rPr>
        <w:t>Odio, M. A., &amp; Menaker, B. E. (2023). Rethinking the sport management internship. Sports Innovation Journal, 4(SI), 152-162. https://doi.org/10.18060/27358</w:t>
      </w:r>
    </w:p>
    <w:p w14:paraId="18773084" w14:textId="77777777" w:rsidR="00834E21" w:rsidRDefault="00000000">
      <w:pPr>
        <w:spacing w:before="60" w:after="60" w:line="320" w:lineRule="auto"/>
        <w:ind w:left="720" w:hanging="720"/>
        <w:jc w:val="both"/>
      </w:pPr>
      <w:r>
        <w:rPr>
          <w:sz w:val="22"/>
          <w:szCs w:val="22"/>
        </w:rPr>
        <w:t>Olsen, K., &amp; LaGree, D. (2023). Taking action in the first five years to increase career equality: The impact of professional relationships on young women's advancement. Gender in Management, 38(7), 925-941. https://doi.org/10.1108/gm-02-2022-0058</w:t>
      </w:r>
    </w:p>
    <w:p w14:paraId="2F8D043B" w14:textId="77777777" w:rsidR="00834E21" w:rsidRDefault="00000000">
      <w:pPr>
        <w:spacing w:before="60" w:after="60" w:line="320" w:lineRule="auto"/>
        <w:ind w:left="720" w:hanging="720"/>
        <w:jc w:val="both"/>
      </w:pPr>
      <w:r>
        <w:rPr>
          <w:sz w:val="22"/>
          <w:szCs w:val="22"/>
        </w:rPr>
        <w:t xml:space="preserve">Smolarek, M., &amp; </w:t>
      </w:r>
      <w:proofErr w:type="spellStart"/>
      <w:r>
        <w:rPr>
          <w:sz w:val="22"/>
          <w:szCs w:val="22"/>
        </w:rPr>
        <w:t>Dziendziora</w:t>
      </w:r>
      <w:proofErr w:type="spellEnd"/>
      <w:r>
        <w:rPr>
          <w:sz w:val="22"/>
          <w:szCs w:val="22"/>
        </w:rPr>
        <w:t>, J. (2022). Impact of personal branding on the development of professional careers of managers. European Research Studies Journal, 25(1), 133-147. https://doi.org/10.35808/ersj/2833</w:t>
      </w:r>
    </w:p>
    <w:p w14:paraId="4FE821D3" w14:textId="77777777" w:rsidR="00834E21" w:rsidRDefault="00000000">
      <w:pPr>
        <w:spacing w:before="60" w:after="60" w:line="320" w:lineRule="auto"/>
        <w:ind w:left="720" w:hanging="720"/>
        <w:jc w:val="both"/>
      </w:pPr>
      <w:r>
        <w:rPr>
          <w:sz w:val="22"/>
          <w:szCs w:val="22"/>
        </w:rPr>
        <w:t>Tiessen, R., Grantham, K., &amp; Cameron, J. (2019). The relationship between experiential learning and career outcomes for alumni of international development studies programs in Canada. Canadian Journal of Higher Education, 48(3), 23-42. https://doi.org/10.7202/1057127ar</w:t>
      </w:r>
    </w:p>
    <w:p w14:paraId="1766860E" w14:textId="77777777" w:rsidR="00834E21" w:rsidRDefault="00000000">
      <w:r>
        <w:br w:type="page"/>
      </w:r>
    </w:p>
    <w:p w14:paraId="533177DD" w14:textId="77777777" w:rsidR="00834E21" w:rsidRDefault="00000000">
      <w:pPr>
        <w:pStyle w:val="Heading1"/>
        <w:spacing w:after="120"/>
      </w:pPr>
      <w:r>
        <w:lastRenderedPageBreak/>
        <w:t>Chapter 9: Leadership Development Through Experiential Learning</w:t>
      </w:r>
    </w:p>
    <w:p w14:paraId="2BD03CA4" w14:textId="77777777" w:rsidR="00834E21" w:rsidRDefault="00000000">
      <w:pPr>
        <w:pStyle w:val="Heading2"/>
        <w:spacing w:after="120"/>
      </w:pPr>
      <w:r>
        <w:t>9.1 Leadership Theories in Sport Management</w:t>
      </w:r>
    </w:p>
    <w:p w14:paraId="6EB333DF" w14:textId="77777777" w:rsidR="00834E21" w:rsidRDefault="00000000">
      <w:pPr>
        <w:spacing w:after="160" w:line="360" w:lineRule="auto"/>
        <w:ind w:firstLine="720"/>
        <w:jc w:val="both"/>
      </w:pPr>
      <w:r>
        <w:t>Leadership is among the most extensively studied constructs in organizational science, generating a literature spanning thousands of articles, books, and theoretical frameworks. In the sport management context, leadership has been examined at multiple organizational levels including team coaches, athletic department administrators, event managers, and corporate partnership executives, across multiple sport contexts from recreational to Olympic, and through multiple theoretical lenses ranging from trait-based approaches to contemporary relational and ethical frameworks. Graduate students who develop facility with this theoretical landscape are better equipped to analyze their own leadership practice, understand the organizational cultures they inhabit, and develop the adaptive leadership repertoire that complex professional challenges demand.</w:t>
      </w:r>
    </w:p>
    <w:p w14:paraId="6BD9D91C" w14:textId="77777777" w:rsidR="00834E21" w:rsidRDefault="00000000">
      <w:pPr>
        <w:spacing w:after="160" w:line="360" w:lineRule="auto"/>
        <w:ind w:firstLine="720"/>
        <w:jc w:val="both"/>
      </w:pPr>
      <w:r>
        <w:t>Barnhill et al. (2021) provided a comprehensive overview of leadership in sport organizations, covering a range of theoretical frameworks and emphasizing the critical importance of both performance-focused and relationship-focused dimensions of sport organizational leadership. This multidimensional framing reflects the contemporary consensus that effective leadership in sport management contexts requires not only the technical knowledge to make sound operational decisions but the interpersonal intelligence to build collaborative cultures, manage conflict, and inspire committed performance from diverse teams.</w:t>
      </w:r>
    </w:p>
    <w:p w14:paraId="1F6B04FB" w14:textId="77777777" w:rsidR="00834E21" w:rsidRDefault="00000000">
      <w:pPr>
        <w:spacing w:after="160" w:line="360" w:lineRule="auto"/>
        <w:ind w:firstLine="720"/>
        <w:jc w:val="both"/>
      </w:pPr>
      <w:r>
        <w:t>The evolution of leadership theory over the past century reflects a broader intellectual journey from the belief that leadership was an innate quality of exceptional individuals to the recognition that effective leadership is a set of learnable, contextually sensitive practices that can be developed through deliberate effort and reflective experience. This developmental view of leadership is entirely congruent with the experiential learning framework that underpins this textbook, and it positions applied learning experiences as essential laboratories for leadership development rather than merely professional preparation environments.</w:t>
      </w:r>
    </w:p>
    <w:p w14:paraId="67AAC3C2" w14:textId="77777777" w:rsidR="00834E21" w:rsidRDefault="00000000">
      <w:pPr>
        <w:spacing w:before="200" w:after="80"/>
        <w:jc w:val="center"/>
      </w:pPr>
      <w:r>
        <w:rPr>
          <w:noProof/>
        </w:rPr>
        <w:lastRenderedPageBreak/>
        <w:drawing>
          <wp:inline distT="0" distB="0" distL="0" distR="0" wp14:anchorId="5255DF95" wp14:editId="436F2FEB">
            <wp:extent cx="5486400" cy="2562225"/>
            <wp:effectExtent l="0" t="0" r="0" b="0"/>
            <wp:docPr id="1370384113" name="Figure 9.1. Three primary leadership frameworks examined in sport management scholarship." descr="Figure 9.1. Three primary leadership frameworks examined in sport management scholarship." title="Figure 9.1. Three primary leadership frameworks examined in sport management schola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5486400" cy="2562225"/>
                    </a:xfrm>
                    <a:prstGeom prst="rect">
                      <a:avLst/>
                    </a:prstGeom>
                  </pic:spPr>
                </pic:pic>
              </a:graphicData>
            </a:graphic>
          </wp:inline>
        </w:drawing>
      </w:r>
    </w:p>
    <w:p w14:paraId="1D24DA9F" w14:textId="77777777" w:rsidR="00834E21" w:rsidRDefault="00000000">
      <w:pPr>
        <w:spacing w:after="200"/>
        <w:jc w:val="center"/>
      </w:pPr>
      <w:r>
        <w:rPr>
          <w:rFonts w:ascii="Arial" w:eastAsia="Arial" w:hAnsi="Arial" w:cs="Arial"/>
          <w:i/>
          <w:iCs/>
          <w:color w:val="555555"/>
          <w:sz w:val="20"/>
          <w:szCs w:val="20"/>
        </w:rPr>
        <w:t>Figure 9.1. Three primary leadership frameworks examined in sport management scholarship.</w:t>
      </w:r>
    </w:p>
    <w:p w14:paraId="29E3C3E1" w14:textId="77777777" w:rsidR="00834E21" w:rsidRDefault="00000000">
      <w:pPr>
        <w:pStyle w:val="Heading2"/>
        <w:spacing w:after="120"/>
      </w:pPr>
      <w:r>
        <w:t>9.2 Transformational Leadership</w:t>
      </w:r>
    </w:p>
    <w:p w14:paraId="21DE5878" w14:textId="77777777" w:rsidR="00834E21" w:rsidRDefault="00000000">
      <w:pPr>
        <w:spacing w:after="160" w:line="360" w:lineRule="auto"/>
        <w:ind w:firstLine="720"/>
        <w:jc w:val="both"/>
      </w:pPr>
      <w:r>
        <w:t>Transformational leadership theory describes a leadership style in which leaders inspire followers to exceed expected performance levels by articulating an inspiring vision, challenging followers intellectually, attending to their individual development needs, and modeling the values and behaviors consistent with the organizational mission. The theory was originally developed by Burns (1978) and operationalized for measurement by Bass (1985), and it has since become one of the most widely studied leadership frameworks in the organizational sciences, with significant application in the sport management literature.</w:t>
      </w:r>
    </w:p>
    <w:p w14:paraId="69F4C33E" w14:textId="77777777" w:rsidR="00834E21" w:rsidRDefault="00000000">
      <w:pPr>
        <w:spacing w:after="160" w:line="360" w:lineRule="auto"/>
        <w:ind w:firstLine="720"/>
        <w:jc w:val="both"/>
      </w:pPr>
      <w:r>
        <w:t>Xie (2020) compared the effects of transformational and servant leadership on learning organizations and found that transformational leadership was a strong predictor of organizational learning capacity while servant leadership was not, suggesting that different leadership styles produce different organizational outcomes and that the choice of leadership approach should be calibrated to organizational goals and contexts. This finding suggests that transformational leadership may be particularly valuable in sport organizations undergoing strategic transformation, where inspiring new visions and challenging established norms is more important than maintaining existing practices and relationships.</w:t>
      </w:r>
    </w:p>
    <w:p w14:paraId="6DF2FE95" w14:textId="77777777" w:rsidR="00834E21" w:rsidRDefault="00000000">
      <w:pPr>
        <w:spacing w:after="160" w:line="360" w:lineRule="auto"/>
        <w:ind w:firstLine="720"/>
        <w:jc w:val="both"/>
      </w:pPr>
      <w:r>
        <w:t xml:space="preserve">For graduate students developing their personal leadership philosophy and approach, transformational leadership offers a compelling framework that connects inspiring vision with individualized development, two themes central to both experiential learning and effective sport </w:t>
      </w:r>
      <w:r>
        <w:lastRenderedPageBreak/>
        <w:t>organizational leadership. Specific behaviors associated with transformational leadership that are directly applicable to student leadership roles include articulating a clear and inspiring vision for team or project goals, providing intellectual challenge that pushes colleagues beyond their current thinking, providing individualized attention and feedback to team members, and modeling the professional values and behaviors expected of all team members.</w:t>
      </w:r>
    </w:p>
    <w:p w14:paraId="1E1D8AE6" w14:textId="77777777" w:rsidR="00834E21" w:rsidRDefault="00000000">
      <w:pPr>
        <w:pStyle w:val="Heading2"/>
        <w:spacing w:after="120"/>
      </w:pPr>
      <w:r>
        <w:t>9.3 Servant Leadership</w:t>
      </w:r>
    </w:p>
    <w:p w14:paraId="6E665B44" w14:textId="77777777" w:rsidR="00834E21" w:rsidRDefault="00000000">
      <w:pPr>
        <w:spacing w:after="160" w:line="360" w:lineRule="auto"/>
        <w:ind w:firstLine="720"/>
        <w:jc w:val="both"/>
      </w:pPr>
      <w:r>
        <w:t>Servant leadership is a philosophy of leadership that places the growth, wellbeing, and empowerment of followers at the center of the leader's role. Rather than leading through authority, status, or charisma, servant leaders earn influence through genuine care for their followers' development, commitment to the organization's mission, and willingness to subordinate personal advancement to collective benefit. The philosophy has generated a substantial empirical literature documenting its positive associations with follower satisfaction, commitment, ethical climate, and organizational performance.</w:t>
      </w:r>
    </w:p>
    <w:p w14:paraId="67C82501" w14:textId="77777777" w:rsidR="00834E21" w:rsidRDefault="00000000">
      <w:pPr>
        <w:spacing w:after="160" w:line="360" w:lineRule="auto"/>
        <w:ind w:firstLine="720"/>
        <w:jc w:val="both"/>
      </w:pPr>
      <w:r>
        <w:t xml:space="preserve">Vinson and Parker (2020) examined the practice of servant leadership among Christian sports coaches and found that servant leadership behaviors were positively associated with athlete satisfaction and perceptions of an ethical climate. More broadly, Burton and Welty Peachey (as cited in Vinson &amp; Parker, 2020) found that servant leadership was directly related to fostering trust in sport organizations, and that perceptions of an ethical climate were enhanced through the procedural justice that servant </w:t>
      </w:r>
      <w:proofErr w:type="gramStart"/>
      <w:r>
        <w:t>leaders</w:t>
      </w:r>
      <w:proofErr w:type="gramEnd"/>
      <w:r>
        <w:t xml:space="preserve"> model. These findings are directly relevant to sport management graduates who aspire to leadership roles in which trust, integrity, and ethical culture are strategic priorities.</w:t>
      </w:r>
    </w:p>
    <w:p w14:paraId="04408763" w14:textId="77777777" w:rsidR="00834E21" w:rsidRDefault="00000000">
      <w:pPr>
        <w:spacing w:after="160" w:line="360" w:lineRule="auto"/>
        <w:ind w:firstLine="720"/>
        <w:jc w:val="both"/>
      </w:pPr>
      <w:r>
        <w:t>Andersen (2018) provided a critical examination of both servant and transformational leadership theories, cautioning that the multiple versions and interpretations of each theory that have accumulated in the scholarly literature create conceptual ambiguity that limits their practical applicability. This critique is a useful reminder that leadership frameworks are tools for thinking, not prescriptive formulas, and that effective leaders integrate insights from multiple frameworks rather than rigidly applying a single approach. Graduate students who engage critically with leadership theory, recognizing both its insights and its limitations, develop a more sophisticated and adaptable leadership orientation than those who adopt a single framework uncritically.</w:t>
      </w:r>
    </w:p>
    <w:p w14:paraId="3A968348" w14:textId="77777777" w:rsidR="00834E21" w:rsidRDefault="00000000">
      <w:pPr>
        <w:pStyle w:val="Heading2"/>
        <w:spacing w:after="120"/>
      </w:pPr>
      <w:r>
        <w:lastRenderedPageBreak/>
        <w:t>9.4 Situational Leadership</w:t>
      </w:r>
    </w:p>
    <w:p w14:paraId="3B374257" w14:textId="77777777" w:rsidR="00834E21" w:rsidRDefault="00000000">
      <w:pPr>
        <w:spacing w:after="160" w:line="360" w:lineRule="auto"/>
        <w:ind w:firstLine="720"/>
        <w:jc w:val="both"/>
      </w:pPr>
      <w:r>
        <w:t>Situational leadership theory, developed by Hersey and Blanchard (1969), proposes that the most effective leadership style in any given moment is determined by the developmental level of the follower with respect to the specific task at hand. The model identifies four basic leadership styles, ranging from highly directive and low-supportive to highly supportive and low-directive, and prescribes specific combinations of directive and supportive behavior depending on whether the follower is a novice, a developing practitioner, a capable but underconfident performer, or a fully developed expert.</w:t>
      </w:r>
    </w:p>
    <w:p w14:paraId="51F8CDA2" w14:textId="77777777" w:rsidR="00834E21" w:rsidRDefault="00000000">
      <w:pPr>
        <w:spacing w:after="160" w:line="360" w:lineRule="auto"/>
        <w:ind w:firstLine="720"/>
        <w:jc w:val="both"/>
      </w:pPr>
      <w:r>
        <w:t>The practical value of situational leadership for sport management graduate students lies in its emphasis on flexibility and follower-responsiveness. In the sport management context, where leaders routinely manage teams composed of individuals with widely varying experience levels, the ability to adapt one's leadership approach to the specific developmental needs of each team member is a critical competency. Graduate students who develop situational awareness, the capacity to accurately diagnose a follower's development level with respect to a specific task, and behavioral flexibility, the capacity to adjust their leadership style accordingly, will be more effective leaders across a wider range of organizational contexts.</w:t>
      </w:r>
    </w:p>
    <w:p w14:paraId="50F5AB5F" w14:textId="77777777" w:rsidR="00834E21" w:rsidRDefault="00000000">
      <w:pPr>
        <w:spacing w:after="160" w:line="360" w:lineRule="auto"/>
        <w:ind w:firstLine="720"/>
        <w:jc w:val="both"/>
      </w:pPr>
      <w:r>
        <w:t xml:space="preserve">Kapyla and </w:t>
      </w:r>
      <w:proofErr w:type="spellStart"/>
      <w:r>
        <w:t>Palvalin</w:t>
      </w:r>
      <w:proofErr w:type="spellEnd"/>
      <w:r>
        <w:t xml:space="preserve"> (2023) described a similar principle in the context of experiential pedagogical design, arguing that the educator must adopt different roles as learners move around the learning cycle, shifting from facilitator to subject expert to standard setter and evaluator to coach. This multi-role model mirrors the diagnostic and adaptive orientation of situational leadership, suggesting that effective teaching and effective leadership share fundamental characteristics that graduate students can develop simultaneously through their applied learning experiences.</w:t>
      </w:r>
    </w:p>
    <w:p w14:paraId="7BBC4E73"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4E4873FC"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021A840C"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Leadership Is What You Do When No One Is Watching</w:t>
            </w:r>
          </w:p>
        </w:tc>
      </w:tr>
      <w:tr w:rsidR="00834E21" w14:paraId="417368AF"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4C966A28" w14:textId="77777777" w:rsidR="00834E21" w:rsidRDefault="00000000">
            <w:pPr>
              <w:spacing w:line="320" w:lineRule="auto"/>
              <w:jc w:val="both"/>
            </w:pPr>
            <w:r>
              <w:rPr>
                <w:color w:val="1A1A1A"/>
                <w:sz w:val="22"/>
                <w:szCs w:val="22"/>
              </w:rPr>
              <w:t xml:space="preserve">A senior associate athletic director described her approach to leadership development this way: I tell my graduate assistants that how you treat the facilities staff, how you respond when a plan falls apart and no one senior is around to observe it, how you behave at the end of a long game day when you are exhausted and you still have two hours of breakdown left, that is your actual leadership. The way you </w:t>
            </w:r>
            <w:r>
              <w:rPr>
                <w:color w:val="1A1A1A"/>
                <w:sz w:val="22"/>
                <w:szCs w:val="22"/>
              </w:rPr>
              <w:lastRenderedPageBreak/>
              <w:t>perform in the room with the athletic director is almost irrelevant compared to how you perform at two in the morning when the only audience is your own integrity. This practitioner insight echoes Vinson and Parker (2020), who found that servant leadership behaviors including humility, care for others, and commitment to mission over personal recognition predicted the most positive organizational outcomes in sport contexts. The leaders who build the most enduring professional reputations in sport are those who lead consistently, not just when they are being evaluated.</w:t>
            </w:r>
          </w:p>
        </w:tc>
      </w:tr>
    </w:tbl>
    <w:p w14:paraId="0383C77D" w14:textId="77777777" w:rsidR="00834E21" w:rsidRDefault="00834E21">
      <w:pPr>
        <w:spacing w:before="200"/>
      </w:pPr>
    </w:p>
    <w:p w14:paraId="7188A594" w14:textId="77777777" w:rsidR="00834E21" w:rsidRDefault="00000000">
      <w:pPr>
        <w:pStyle w:val="Heading2"/>
        <w:spacing w:after="120"/>
      </w:pPr>
      <w:r>
        <w:t>9.5 Team Dynamics and Collaboration</w:t>
      </w:r>
    </w:p>
    <w:p w14:paraId="22450E30" w14:textId="77777777" w:rsidR="00834E21" w:rsidRDefault="00000000">
      <w:pPr>
        <w:spacing w:after="160" w:line="360" w:lineRule="auto"/>
        <w:ind w:firstLine="720"/>
        <w:jc w:val="both"/>
      </w:pPr>
      <w:r>
        <w:t>Sport management professionals rarely operate as solo practitioners. Virtually every significant organizational outcome in sport management requires the coordinated effort of diverse teams whose members bring complementary competencies, perspectives, and organizational relationships to shared goals. Understanding the dynamics of team formation, development, and performance is therefore a central leadership competency for sport management graduates.</w:t>
      </w:r>
    </w:p>
    <w:p w14:paraId="4E3DFECF" w14:textId="77777777" w:rsidR="00834E21" w:rsidRDefault="00000000">
      <w:pPr>
        <w:spacing w:after="160" w:line="360" w:lineRule="auto"/>
        <w:ind w:firstLine="720"/>
        <w:jc w:val="both"/>
      </w:pPr>
      <w:r>
        <w:t>Research on team dynamics consistently documents the importance of psychological safety, the belief among team members that they can take interpersonal risks such as sharing ideas, admitting mistakes, and challenging assumptions without fear of judgment or retribution, as a predictor of team learning and performance. Leaders who create psychologically safe team environments produce more creative, more adaptive, and more resilient teams than those who prioritize performance pressure over relational safety. For sport management graduates leading event teams, committee groups, or department project teams, cultivating psychological safety is a foundational leadership practice.</w:t>
      </w:r>
    </w:p>
    <w:p w14:paraId="3B652DF5" w14:textId="77777777" w:rsidR="00834E21" w:rsidRDefault="00000000">
      <w:pPr>
        <w:spacing w:after="160" w:line="360" w:lineRule="auto"/>
        <w:ind w:firstLine="720"/>
        <w:jc w:val="both"/>
      </w:pPr>
      <w:r>
        <w:t>McFadden and Stenta (2015) documented that collegiate athletics and recreation environments provide meaningful opportunities for students to develop team leadership competencies, and that these environments apply leadership frameworks in concrete, observable ways. Graduate students who take on leadership roles within these environments, such as serving as team captain of a graduate student committee, leading a volunteer team at a major event, or managing a project team within a graduate assistantship, are engaging in exactly the kind of applied leadership practice that developmental theory identifies as the most powerful vehicle for leadership growth.</w:t>
      </w:r>
    </w:p>
    <w:p w14:paraId="33A0D2EA" w14:textId="77777777" w:rsidR="00834E21" w:rsidRDefault="00000000">
      <w:pPr>
        <w:spacing w:after="160" w:line="360" w:lineRule="auto"/>
        <w:ind w:firstLine="720"/>
        <w:jc w:val="both"/>
      </w:pPr>
      <w:r>
        <w:lastRenderedPageBreak/>
        <w:t>The intersection of leadership theory and organizational culture in sport provides an important context for understanding how leadership development occurs and is sustained over time. Graduate students who develop the analytical capacity to read organizational culture, identifying which leadership behaviors are rewarded, which are suppressed, and how formal authority structures interact with informal influence networks, will be prepared to exercise leadership more strategically than those who apply generic leadership frameworks without cultural sensitivity.</w:t>
      </w:r>
    </w:p>
    <w:p w14:paraId="3BC83CB7" w14:textId="77777777" w:rsidR="00834E21" w:rsidRDefault="00000000">
      <w:pPr>
        <w:spacing w:after="160" w:line="360" w:lineRule="auto"/>
        <w:ind w:firstLine="720"/>
        <w:jc w:val="both"/>
      </w:pPr>
      <w:r>
        <w:t>Guidotti et al. (2023) found in their umbrella review that leadership capabilities were among the most consistently prioritized competencies across sport management roles at all career stages. Crucially, however, their research indicated that the specific leadership competencies most valued vary considerably by career stage: entry-level professionals are expected to demonstrate self-leadership and disciplined execution, mid-career professionals are expected to lead teams and manage stakeholder relationships, and senior leaders are expected to provide strategic vision and institutional stewardship. Graduate students who understand this developmental arc can use their applied learning experiences to begin building the foundational self-leadership competencies that will sustain their development as they advance, rather than attempting to demonstrate senior-level leadership behaviors that require organizational context they do not yet possess.</w:t>
      </w:r>
    </w:p>
    <w:p w14:paraId="0BCE0CEE" w14:textId="77777777" w:rsidR="00834E21" w:rsidRDefault="00000000">
      <w:pPr>
        <w:pStyle w:val="Heading2"/>
        <w:spacing w:after="120"/>
      </w:pPr>
      <w:r>
        <w:t>9.6 Conflict Resolution in Sport Organizations</w:t>
      </w:r>
    </w:p>
    <w:p w14:paraId="7AD2AEC5" w14:textId="77777777" w:rsidR="00834E21" w:rsidRDefault="00000000">
      <w:pPr>
        <w:spacing w:after="160" w:line="360" w:lineRule="auto"/>
        <w:ind w:firstLine="720"/>
        <w:jc w:val="both"/>
      </w:pPr>
      <w:r>
        <w:t>Conflict is an inevitable feature of organizational life, and the ability to navigate conflict constructively is one of the most practically important leadership competencies in sport management. Conflict in sport organizations arises from diverse sources including resource scarcity, competing stakeholder interests, interpersonal differences, unclear role boundaries, performance pressures, and ethical disagreements. Leaders who develop the awareness to recognize conflict early and the skill to facilitate constructive resolution build more cohesive, higher-functioning organizational cultures than those who avoid or escalate conflict.</w:t>
      </w:r>
    </w:p>
    <w:p w14:paraId="7F87B120" w14:textId="77777777" w:rsidR="00834E21" w:rsidRDefault="00000000">
      <w:pPr>
        <w:spacing w:after="160" w:line="360" w:lineRule="auto"/>
        <w:ind w:firstLine="720"/>
        <w:jc w:val="both"/>
      </w:pPr>
      <w:r>
        <w:t xml:space="preserve">Barnhill et al. (2021) emphasized the critical importance of relational and ethical dimensions of leadership in sport organizations, implicitly acknowledging that the management of conflict and the maintenance of constructive relationships under pressure are defining challenges of sport organizational leadership. Graduate students who develop conflict resolution competencies during their applied learning experiences, whether through direct experience </w:t>
      </w:r>
      <w:r>
        <w:lastRenderedPageBreak/>
        <w:t>managing interpersonal tensions within a team or through observing how experienced supervisors handle organizational conflicts, develop a practically indispensable leadership capability.</w:t>
      </w:r>
    </w:p>
    <w:p w14:paraId="13A318AE" w14:textId="77777777" w:rsidR="00834E21" w:rsidRDefault="00000000">
      <w:pPr>
        <w:spacing w:after="160" w:line="360" w:lineRule="auto"/>
        <w:ind w:firstLine="720"/>
        <w:jc w:val="both"/>
      </w:pPr>
      <w:r>
        <w:t>Effective conflict resolution in organizational contexts typically involves several sequential competencies: accurately perceiving the nature and sources of the conflict, engaging the parties in conflict in facilitated dialogue that promotes mutual understanding, identifying interests that underlie stated positions, generating creative solutions that address the core needs of all parties, reaching agreements that both parties can commit to, and monitoring implementation to prevent recurrence. Graduate students who develop and practice these competencies in applied settings are building one of the most transferable and most valued leadership capabilities in the sport management professional landscape.</w:t>
      </w:r>
    </w:p>
    <w:p w14:paraId="72F68F05" w14:textId="77777777" w:rsidR="00834E21" w:rsidRDefault="00000000">
      <w:pPr>
        <w:pStyle w:val="Heading2"/>
        <w:spacing w:after="120"/>
      </w:pPr>
      <w:r>
        <w:t>9.7 Applied Leadership Experiences in Sport Settings</w:t>
      </w:r>
    </w:p>
    <w:p w14:paraId="77D99B6A" w14:textId="77777777" w:rsidR="00834E21" w:rsidRDefault="00000000">
      <w:pPr>
        <w:spacing w:after="160" w:line="360" w:lineRule="auto"/>
        <w:ind w:firstLine="720"/>
        <w:jc w:val="both"/>
      </w:pPr>
      <w:r>
        <w:t>The development of genuine leadership competency requires repeated practice in authentic contexts with real stakes, ongoing feedback from experienced observers, and structured reflection that converts experience into learnable insight. Applied leadership experiences available to sport management graduate students include supervising event volunteer teams, leading student organization committees, managing project teams within graduate assistantships, coordinating peer mentorship programs, and leading collaborative academic or applied projects.</w:t>
      </w:r>
    </w:p>
    <w:p w14:paraId="722C2139" w14:textId="77777777" w:rsidR="00834E21" w:rsidRDefault="00000000">
      <w:pPr>
        <w:spacing w:after="160" w:line="360" w:lineRule="auto"/>
        <w:ind w:firstLine="720"/>
        <w:jc w:val="both"/>
      </w:pPr>
      <w:r>
        <w:t>Each of these contexts presents distinct leadership challenges. Managing event volunteers requires motivating and coordinating a diverse, temporary team under operational pressure with limited formal authority. Leading a student organization requires building shared vision, managing democratic decision-making processes, and sustaining member engagement over an extended period. Managing project teams in professional settings requires balancing task management with relationship management, navigating organizational politics, and producing high-quality outputs under resource constraints. Each context develops specific leadership competencies while building the broader adaptive leadership orientation that characterizes effective professional leadership.</w:t>
      </w:r>
    </w:p>
    <w:p w14:paraId="22038151" w14:textId="77777777" w:rsidR="00834E21" w:rsidRDefault="00000000">
      <w:pPr>
        <w:spacing w:after="160" w:line="360" w:lineRule="auto"/>
        <w:ind w:firstLine="720"/>
        <w:jc w:val="both"/>
      </w:pPr>
      <w:r>
        <w:t xml:space="preserve">Kapyla and </w:t>
      </w:r>
      <w:proofErr w:type="spellStart"/>
      <w:r>
        <w:t>Palvalin</w:t>
      </w:r>
      <w:proofErr w:type="spellEnd"/>
      <w:r>
        <w:t xml:space="preserve"> (2023) found that a pedagogical model that combined three courses through project work, with advanced students acting as leaders for those at earlier stages of their studies, produced positive leadership development outcomes and was pedagogically effective for teaching management and leadership in the knowledge economy. This peer-to-peer leadership </w:t>
      </w:r>
      <w:r>
        <w:lastRenderedPageBreak/>
        <w:t>model has direct application in sport management programs, where graduate students who have completed earlier applied learning experiences can serve as coaches and mentors for peers entering those experiences for the first time, developing their own leadership competency while adding value to the program community.</w:t>
      </w:r>
    </w:p>
    <w:p w14:paraId="3196C14F" w14:textId="77777777" w:rsidR="00834E21" w:rsidRDefault="00000000">
      <w:pPr>
        <w:pStyle w:val="Heading2"/>
        <w:spacing w:after="120"/>
      </w:pPr>
      <w:r>
        <w:t>Discussion Questions</w:t>
      </w:r>
    </w:p>
    <w:p w14:paraId="7F82C332" w14:textId="77777777" w:rsidR="00834E21" w:rsidRDefault="00000000">
      <w:pPr>
        <w:spacing w:before="100" w:after="60" w:line="320" w:lineRule="auto"/>
        <w:ind w:left="720" w:hanging="360"/>
        <w:jc w:val="both"/>
      </w:pPr>
      <w:r>
        <w:rPr>
          <w:b/>
          <w:bCs/>
          <w:sz w:val="22"/>
          <w:szCs w:val="22"/>
        </w:rPr>
        <w:t xml:space="preserve">1. </w:t>
      </w:r>
      <w:r>
        <w:rPr>
          <w:sz w:val="22"/>
          <w:szCs w:val="22"/>
        </w:rPr>
        <w:t>Andersen (2018) argued that the multiple versions of servant leadership and transformational leadership in the scholarly literature create conceptual ambiguity that limits their practical applicability. Do you find this critique persuasive? How should sport management practitioners use leadership theory given its inherent limitations and contextual variability?</w:t>
      </w:r>
    </w:p>
    <w:p w14:paraId="56874AA7" w14:textId="77777777" w:rsidR="00834E21" w:rsidRDefault="00000000">
      <w:pPr>
        <w:spacing w:before="100" w:after="60" w:line="320" w:lineRule="auto"/>
        <w:ind w:left="720" w:hanging="360"/>
        <w:jc w:val="both"/>
      </w:pPr>
      <w:r>
        <w:rPr>
          <w:b/>
          <w:bCs/>
          <w:sz w:val="22"/>
          <w:szCs w:val="22"/>
        </w:rPr>
        <w:t xml:space="preserve">2. </w:t>
      </w:r>
      <w:r>
        <w:rPr>
          <w:sz w:val="22"/>
          <w:szCs w:val="22"/>
        </w:rPr>
        <w:t>Vinson and Parker (2020) found that servant leadership was positively associated with athlete satisfaction and ethical climate in sport coaching contexts. Identify a specific sport management scenario outside of coaching, such as an athletic development office or a major event host committee, and analyze how servant leadership principles could be applied in that context.</w:t>
      </w:r>
    </w:p>
    <w:p w14:paraId="1F47BB51" w14:textId="77777777" w:rsidR="00834E21" w:rsidRDefault="00000000">
      <w:pPr>
        <w:spacing w:before="100" w:after="60" w:line="320" w:lineRule="auto"/>
        <w:ind w:left="720" w:hanging="360"/>
        <w:jc w:val="both"/>
      </w:pPr>
      <w:r>
        <w:rPr>
          <w:b/>
          <w:bCs/>
          <w:sz w:val="22"/>
          <w:szCs w:val="22"/>
        </w:rPr>
        <w:t xml:space="preserve">3. </w:t>
      </w:r>
      <w:r>
        <w:rPr>
          <w:sz w:val="22"/>
          <w:szCs w:val="22"/>
        </w:rPr>
        <w:t>Xie (2020) found that transformational leadership, not servant leadership, was the stronger predictor of organizational learning capacity. How should a sport management leader decide which leadership approach to emphasize in a given organizational context, and what information would they need to make that determination?</w:t>
      </w:r>
    </w:p>
    <w:p w14:paraId="1DE9D351" w14:textId="77777777" w:rsidR="00834E21" w:rsidRDefault="00000000">
      <w:pPr>
        <w:spacing w:before="100" w:after="60" w:line="320" w:lineRule="auto"/>
        <w:ind w:left="720" w:hanging="360"/>
        <w:jc w:val="both"/>
      </w:pPr>
      <w:r>
        <w:rPr>
          <w:b/>
          <w:bCs/>
          <w:sz w:val="22"/>
          <w:szCs w:val="22"/>
        </w:rPr>
        <w:t xml:space="preserve">4. </w:t>
      </w:r>
      <w:r>
        <w:rPr>
          <w:sz w:val="22"/>
          <w:szCs w:val="22"/>
        </w:rPr>
        <w:t xml:space="preserve">Kapyla and </w:t>
      </w:r>
      <w:proofErr w:type="spellStart"/>
      <w:r>
        <w:rPr>
          <w:sz w:val="22"/>
          <w:szCs w:val="22"/>
        </w:rPr>
        <w:t>Palvalin</w:t>
      </w:r>
      <w:proofErr w:type="spellEnd"/>
      <w:r>
        <w:rPr>
          <w:sz w:val="22"/>
          <w:szCs w:val="22"/>
        </w:rPr>
        <w:t xml:space="preserve"> (2023) argued that leadership can best be learned by practicing and that peer-to-peer leadership models are particularly effective. Design a peer leadership development structure for a sport management graduate program that leverages the expertise of more advanced students to develop the leadership competencies of incoming students.</w:t>
      </w:r>
    </w:p>
    <w:p w14:paraId="2E5C8971" w14:textId="77777777" w:rsidR="00834E21" w:rsidRDefault="00000000">
      <w:pPr>
        <w:spacing w:before="100" w:after="60" w:line="320" w:lineRule="auto"/>
        <w:ind w:left="720" w:hanging="360"/>
        <w:jc w:val="both"/>
      </w:pPr>
      <w:r>
        <w:rPr>
          <w:b/>
          <w:bCs/>
          <w:sz w:val="22"/>
          <w:szCs w:val="22"/>
        </w:rPr>
        <w:t xml:space="preserve">5. </w:t>
      </w:r>
      <w:r>
        <w:rPr>
          <w:sz w:val="22"/>
          <w:szCs w:val="22"/>
        </w:rPr>
        <w:t xml:space="preserve">McFadden and Stenta (2015) documented that collegiate athletics environments provide meaningful leadership development opportunities for students who serve in employee and athlete roles. What conditions must be present in </w:t>
      </w:r>
      <w:proofErr w:type="gramStart"/>
      <w:r>
        <w:rPr>
          <w:sz w:val="22"/>
          <w:szCs w:val="22"/>
        </w:rPr>
        <w:t>a collegiate athletics</w:t>
      </w:r>
      <w:proofErr w:type="gramEnd"/>
      <w:r>
        <w:rPr>
          <w:sz w:val="22"/>
          <w:szCs w:val="22"/>
        </w:rPr>
        <w:t xml:space="preserve"> applied learning context for it to produce genuine leadership development, as opposed to mere task performance?</w:t>
      </w:r>
    </w:p>
    <w:p w14:paraId="15A56857" w14:textId="026D20B4" w:rsidR="00834E21" w:rsidRDefault="00000000" w:rsidP="00D5035A">
      <w:pPr>
        <w:pStyle w:val="Heading2"/>
        <w:spacing w:after="120"/>
      </w:pPr>
      <w:r>
        <w:t>Reflection Practices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7"/>
        <w:gridCol w:w="7743"/>
      </w:tblGrid>
      <w:tr w:rsidR="00834E21" w14:paraId="266D0EBC"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06A4F771" w14:textId="77777777" w:rsidR="00834E21" w:rsidRDefault="00000000">
            <w:pPr>
              <w:jc w:val="center"/>
            </w:pPr>
            <w:r>
              <w:rPr>
                <w:rFonts w:ascii="Arial" w:eastAsia="Arial" w:hAnsi="Arial" w:cs="Arial"/>
                <w:b/>
                <w:bCs/>
                <w:color w:val="2E4057"/>
                <w:sz w:val="28"/>
                <w:szCs w:val="28"/>
              </w:rPr>
              <w:t>1</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01B56194" w14:textId="77777777" w:rsidR="00834E21" w:rsidRDefault="00000000">
            <w:pPr>
              <w:spacing w:line="300" w:lineRule="auto"/>
              <w:jc w:val="both"/>
            </w:pPr>
            <w:r>
              <w:rPr>
                <w:b/>
                <w:bCs/>
                <w:color w:val="2E4057"/>
                <w:sz w:val="22"/>
                <w:szCs w:val="22"/>
              </w:rPr>
              <w:t xml:space="preserve">Leadership Style Self-Assessment: Complete a validated leadership style self-assessment, such as the Multifactor Leadership Questionnaire or a comparable instrument assessing transformational and servant leadership behaviors. </w:t>
            </w:r>
            <w:r>
              <w:rPr>
                <w:color w:val="1A1A1A"/>
                <w:sz w:val="22"/>
                <w:szCs w:val="22"/>
              </w:rPr>
              <w:t>Write a 500-word reflection analyzing your self-assessed leadership style, identifying the contexts in which it is most and least effective, and developing a specific plan for expanding your leadership behavioral repertoire.</w:t>
            </w:r>
          </w:p>
        </w:tc>
      </w:tr>
      <w:tr w:rsidR="00834E21" w14:paraId="03C6E124"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40DAFCF8" w14:textId="77777777" w:rsidR="00834E21" w:rsidRDefault="00000000">
            <w:pPr>
              <w:jc w:val="center"/>
            </w:pPr>
            <w:r>
              <w:rPr>
                <w:rFonts w:ascii="Arial" w:eastAsia="Arial" w:hAnsi="Arial" w:cs="Arial"/>
                <w:b/>
                <w:bCs/>
                <w:color w:val="2E4057"/>
                <w:sz w:val="28"/>
                <w:szCs w:val="28"/>
              </w:rPr>
              <w:lastRenderedPageBreak/>
              <w:t>2</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2C278931" w14:textId="77777777" w:rsidR="00834E21" w:rsidRDefault="00000000">
            <w:pPr>
              <w:spacing w:line="300" w:lineRule="auto"/>
              <w:jc w:val="both"/>
            </w:pPr>
            <w:r>
              <w:rPr>
                <w:b/>
                <w:bCs/>
                <w:color w:val="2E4057"/>
                <w:sz w:val="22"/>
                <w:szCs w:val="22"/>
              </w:rPr>
              <w:t xml:space="preserve">Leadership Observation Journal: Over a two-week period, systematically observe the leadership behavior of three professionals in your applied learning context or academic program. </w:t>
            </w:r>
            <w:r>
              <w:rPr>
                <w:color w:val="1A1A1A"/>
                <w:sz w:val="22"/>
                <w:szCs w:val="22"/>
              </w:rPr>
              <w:t>For each professional, document specific leadership behaviors you observe, connect those behaviors to theoretical frameworks from this chapter, and analyze their apparent effectiveness in context. Write a 600-word comparative analysis of the three leaders' approaches.</w:t>
            </w:r>
          </w:p>
        </w:tc>
      </w:tr>
      <w:tr w:rsidR="00834E21" w14:paraId="205E429D"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7FB7C85D" w14:textId="77777777" w:rsidR="00834E21" w:rsidRDefault="00000000">
            <w:pPr>
              <w:jc w:val="center"/>
            </w:pPr>
            <w:r>
              <w:rPr>
                <w:rFonts w:ascii="Arial" w:eastAsia="Arial" w:hAnsi="Arial" w:cs="Arial"/>
                <w:b/>
                <w:bCs/>
                <w:color w:val="2E4057"/>
                <w:sz w:val="28"/>
                <w:szCs w:val="28"/>
              </w:rPr>
              <w:t>3</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488E9105" w14:textId="77777777" w:rsidR="00834E21" w:rsidRDefault="00000000">
            <w:pPr>
              <w:spacing w:line="300" w:lineRule="auto"/>
              <w:jc w:val="both"/>
            </w:pPr>
            <w:r>
              <w:rPr>
                <w:b/>
                <w:bCs/>
                <w:color w:val="2E4057"/>
                <w:sz w:val="22"/>
                <w:szCs w:val="22"/>
              </w:rPr>
              <w:t xml:space="preserve">Conflict Resolution Simulation: Participate in a structured conflict resolution role-play with classmates in which you are assigned the role of a mediating leader managing a conflict between two team members. </w:t>
            </w:r>
            <w:r>
              <w:rPr>
                <w:color w:val="1A1A1A"/>
                <w:sz w:val="22"/>
                <w:szCs w:val="22"/>
              </w:rPr>
              <w:t>After the simulation, write a 400-word reflection analyzing your performance, the challenges you encountered, and the specific communication and facilitation skills you would develop through additional practice.</w:t>
            </w:r>
          </w:p>
        </w:tc>
      </w:tr>
      <w:tr w:rsidR="00834E21" w14:paraId="0996F1F0"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5B2E33AF" w14:textId="77777777" w:rsidR="00834E21" w:rsidRDefault="00000000">
            <w:pPr>
              <w:jc w:val="center"/>
            </w:pPr>
            <w:r>
              <w:rPr>
                <w:rFonts w:ascii="Arial" w:eastAsia="Arial" w:hAnsi="Arial" w:cs="Arial"/>
                <w:b/>
                <w:bCs/>
                <w:color w:val="2E4057"/>
                <w:sz w:val="28"/>
                <w:szCs w:val="28"/>
              </w:rPr>
              <w:t>4</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1681B8B0" w14:textId="77777777" w:rsidR="00834E21" w:rsidRDefault="00000000">
            <w:pPr>
              <w:spacing w:line="300" w:lineRule="auto"/>
              <w:jc w:val="both"/>
            </w:pPr>
            <w:r>
              <w:rPr>
                <w:b/>
                <w:bCs/>
                <w:color w:val="2E4057"/>
                <w:sz w:val="22"/>
                <w:szCs w:val="22"/>
              </w:rPr>
              <w:t xml:space="preserve">Leadership Project: Identify a specific leadership opportunity in your graduate program or applied learning context and commit to pursuing it intentionally over the remaining weeks of the semester. </w:t>
            </w:r>
            <w:r>
              <w:rPr>
                <w:color w:val="1A1A1A"/>
                <w:sz w:val="22"/>
                <w:szCs w:val="22"/>
              </w:rPr>
              <w:t>Document your leadership activities weekly in your reflection journal, connecting your observations and experiences to the theoretical frameworks from this chapter. Produce a 1,000-word capstone reflection at the end of the semester analyzing your leadership development.</w:t>
            </w:r>
          </w:p>
        </w:tc>
      </w:tr>
      <w:tr w:rsidR="00834E21" w14:paraId="0D57E651"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7ECC27ED" w14:textId="77777777" w:rsidR="00834E21" w:rsidRDefault="00000000">
            <w:pPr>
              <w:jc w:val="center"/>
            </w:pPr>
            <w:r>
              <w:rPr>
                <w:rFonts w:ascii="Arial" w:eastAsia="Arial" w:hAnsi="Arial" w:cs="Arial"/>
                <w:b/>
                <w:bCs/>
                <w:color w:val="2E4057"/>
                <w:sz w:val="28"/>
                <w:szCs w:val="28"/>
              </w:rPr>
              <w:t>5</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7924A196" w14:textId="77777777" w:rsidR="00834E21" w:rsidRDefault="00000000">
            <w:pPr>
              <w:spacing w:line="300" w:lineRule="auto"/>
              <w:jc w:val="both"/>
            </w:pPr>
            <w:r>
              <w:rPr>
                <w:b/>
                <w:bCs/>
                <w:color w:val="2E4057"/>
                <w:sz w:val="22"/>
                <w:szCs w:val="22"/>
              </w:rPr>
              <w:t xml:space="preserve">Leadership Philosophy Revision: Return to the leadership philosophy statement you drafted in Chapter 3 and revise it substantially in light of the theoretical frameworks, research findings, and applied leadership experiences you have encountered since then. </w:t>
            </w:r>
            <w:r>
              <w:rPr>
                <w:color w:val="1A1A1A"/>
                <w:sz w:val="22"/>
                <w:szCs w:val="22"/>
              </w:rPr>
              <w:t>In a 200-word accompanying meta-reflection, analyze how your leadership philosophy has evolved and what has driven that evolution.</w:t>
            </w:r>
          </w:p>
        </w:tc>
      </w:tr>
    </w:tbl>
    <w:p w14:paraId="433BDCED" w14:textId="77777777" w:rsidR="00834E21" w:rsidRDefault="00000000">
      <w:pPr>
        <w:pStyle w:val="Heading2"/>
        <w:spacing w:after="120"/>
      </w:pPr>
      <w:r>
        <w:t>References</w:t>
      </w:r>
    </w:p>
    <w:p w14:paraId="6A9755FB" w14:textId="77777777" w:rsidR="00834E21" w:rsidRDefault="00000000">
      <w:pPr>
        <w:spacing w:before="60" w:after="60" w:line="320" w:lineRule="auto"/>
        <w:ind w:left="720" w:hanging="720"/>
        <w:jc w:val="both"/>
      </w:pPr>
      <w:r>
        <w:rPr>
          <w:sz w:val="22"/>
          <w:szCs w:val="22"/>
        </w:rPr>
        <w:t>Andersen, J. A. (2018). Servant leadership and transformational leadership: From comparisons to farewells. Leadership and Organization Development Journal, 39(6), 762-774. https://doi.org/10.1108/lodj-01-2018-0053</w:t>
      </w:r>
    </w:p>
    <w:p w14:paraId="4ACA6117" w14:textId="77777777" w:rsidR="00834E21" w:rsidRDefault="00000000">
      <w:pPr>
        <w:spacing w:before="60" w:after="60" w:line="320" w:lineRule="auto"/>
        <w:ind w:left="720" w:hanging="720"/>
        <w:jc w:val="both"/>
      </w:pPr>
      <w:r>
        <w:rPr>
          <w:sz w:val="22"/>
          <w:szCs w:val="22"/>
        </w:rPr>
        <w:t>Barnhill, C. R., Smith, N., &amp; Oja, B. D. (2021). Leadership in sport organizations. In C. R. Barnhill et al. (Eds.), Applied sport management skills (pp. 201-220). Springer. https://doi.org/10.1007/978-3-030-67612-4_18</w:t>
      </w:r>
    </w:p>
    <w:p w14:paraId="50FB8034" w14:textId="77777777" w:rsidR="00834E21" w:rsidRDefault="00000000">
      <w:pPr>
        <w:spacing w:before="60" w:after="60" w:line="320" w:lineRule="auto"/>
        <w:ind w:left="720" w:hanging="720"/>
        <w:jc w:val="both"/>
      </w:pPr>
      <w:r>
        <w:rPr>
          <w:sz w:val="22"/>
          <w:szCs w:val="22"/>
        </w:rPr>
        <w:t xml:space="preserve">Kapyla, J., &amp; </w:t>
      </w:r>
      <w:proofErr w:type="spellStart"/>
      <w:r>
        <w:rPr>
          <w:sz w:val="22"/>
          <w:szCs w:val="22"/>
        </w:rPr>
        <w:t>Palvalin</w:t>
      </w:r>
      <w:proofErr w:type="spellEnd"/>
      <w:r>
        <w:rPr>
          <w:sz w:val="22"/>
          <w:szCs w:val="22"/>
        </w:rPr>
        <w:t xml:space="preserve">, M. (2023). Experiential pedagogical model for teaching management and leadership in higher education. </w:t>
      </w:r>
      <w:proofErr w:type="spellStart"/>
      <w:r>
        <w:rPr>
          <w:sz w:val="22"/>
          <w:szCs w:val="22"/>
        </w:rPr>
        <w:t>InScience</w:t>
      </w:r>
      <w:proofErr w:type="spellEnd"/>
      <w:r>
        <w:rPr>
          <w:sz w:val="22"/>
          <w:szCs w:val="22"/>
        </w:rPr>
        <w:t xml:space="preserve"> Press. https://doi.org/10.36315/2023v2end128</w:t>
      </w:r>
    </w:p>
    <w:p w14:paraId="5B72245B" w14:textId="77777777" w:rsidR="00834E21" w:rsidRDefault="00000000">
      <w:pPr>
        <w:spacing w:before="60" w:after="60" w:line="320" w:lineRule="auto"/>
        <w:ind w:left="720" w:hanging="720"/>
        <w:jc w:val="both"/>
      </w:pPr>
      <w:r>
        <w:rPr>
          <w:sz w:val="22"/>
          <w:szCs w:val="22"/>
        </w:rPr>
        <w:t>McFadden, C. W., &amp; Stenta, D. A. (2015). Connecting collegiate recreation and athletics to leadership. New Directions for Student Leadership, 147, 5-18. https://doi.org/10.1002/yd.20139</w:t>
      </w:r>
    </w:p>
    <w:p w14:paraId="44E98C41" w14:textId="77777777" w:rsidR="00834E21" w:rsidRDefault="00000000">
      <w:pPr>
        <w:spacing w:before="60" w:after="60" w:line="320" w:lineRule="auto"/>
        <w:ind w:left="720" w:hanging="720"/>
        <w:jc w:val="both"/>
      </w:pPr>
      <w:r>
        <w:rPr>
          <w:sz w:val="22"/>
          <w:szCs w:val="22"/>
        </w:rPr>
        <w:lastRenderedPageBreak/>
        <w:t>Schneider, S. K., &amp; George, W. M. (2011). Servant leadership versus transformational leadership in voluntary service organizations. Leadership and Organization Development Journal, 32(1), 60-77. https://doi.org/10.1108/01437731111099283</w:t>
      </w:r>
    </w:p>
    <w:p w14:paraId="4EB6613F" w14:textId="77777777" w:rsidR="00834E21" w:rsidRDefault="00000000">
      <w:pPr>
        <w:spacing w:before="60" w:after="60" w:line="320" w:lineRule="auto"/>
        <w:ind w:left="720" w:hanging="720"/>
        <w:jc w:val="both"/>
      </w:pPr>
      <w:r>
        <w:rPr>
          <w:sz w:val="22"/>
          <w:szCs w:val="22"/>
        </w:rPr>
        <w:t>Vinson, D., &amp; Parker, A. (2020). Christian sports coaches and servant leadership. International Journal of Sports Science and Coaching, 16(2), 304-316. https://doi.org/10.1177/1747954120951768</w:t>
      </w:r>
    </w:p>
    <w:p w14:paraId="45BD7A3D" w14:textId="77777777" w:rsidR="00834E21" w:rsidRDefault="00000000">
      <w:pPr>
        <w:spacing w:before="60" w:after="60" w:line="320" w:lineRule="auto"/>
        <w:ind w:left="720" w:hanging="720"/>
        <w:jc w:val="both"/>
      </w:pPr>
      <w:r>
        <w:rPr>
          <w:sz w:val="22"/>
          <w:szCs w:val="22"/>
        </w:rPr>
        <w:t>Xie, L. (2020). The impact of servant leadership and transformational leadership on learning organization: A comparative analysis. Leadership and Organization Development Journal, 41(2), 220-236. https://doi.org/10.1108/lodj-04-2019-0148</w:t>
      </w:r>
    </w:p>
    <w:p w14:paraId="11075386" w14:textId="77777777" w:rsidR="00834E21" w:rsidRDefault="00000000">
      <w:r>
        <w:br w:type="page"/>
      </w:r>
    </w:p>
    <w:p w14:paraId="611BFB98" w14:textId="77777777" w:rsidR="00834E21" w:rsidRDefault="00000000">
      <w:pPr>
        <w:pStyle w:val="Heading1"/>
        <w:spacing w:after="120"/>
      </w:pPr>
      <w:r>
        <w:lastRenderedPageBreak/>
        <w:t>Chapter 10: Building a Personal Brand and Career Roadmap</w:t>
      </w:r>
    </w:p>
    <w:p w14:paraId="098FCDBD" w14:textId="77777777" w:rsidR="00834E21" w:rsidRDefault="00000000">
      <w:pPr>
        <w:pStyle w:val="Heading2"/>
        <w:spacing w:after="120"/>
      </w:pPr>
      <w:r>
        <w:t>10.1 Creating a Professional Identity</w:t>
      </w:r>
    </w:p>
    <w:p w14:paraId="6CD48521" w14:textId="77777777" w:rsidR="00834E21" w:rsidRDefault="00000000">
      <w:pPr>
        <w:spacing w:after="160" w:line="360" w:lineRule="auto"/>
        <w:ind w:firstLine="720"/>
        <w:jc w:val="both"/>
      </w:pPr>
      <w:r>
        <w:t>Professional identity is the coherent set of values, competencies, commitments, and aspirations through which a professional understands and presents themselves in the context of their field. Unlike a resume, which lists accomplishments and credentials, a professional identity is a living, evolving narrative that integrates what one has done with who one is and who one aspires to become. For sport management graduate students, the development of a clear and authentic professional identity is both a personal developmental task and a strategic career necessity, as employers increasingly select candidates not only for technical qualifications but for the depth and clarity of their professional self-concept.</w:t>
      </w:r>
    </w:p>
    <w:p w14:paraId="3004290B" w14:textId="77777777" w:rsidR="00834E21" w:rsidRDefault="00000000">
      <w:pPr>
        <w:spacing w:after="160" w:line="360" w:lineRule="auto"/>
        <w:ind w:firstLine="720"/>
        <w:jc w:val="both"/>
      </w:pPr>
      <w:r>
        <w:t>Professional identity development in sport management is shaped by multiple influences including academic preparation, applied learning experiences, mentorship and sponsorship relationships, professional community membership, personal values and commitments, and critical reflection on the organizational contexts one has inhabited. Odio and Menaker (2023) argued that sport management programs should design experiential learning to foster not just industry-specific competency but the kind of transformational professional development that equips graduates to challenge norms and advance the field. This aspiration requires graduates to develop not merely a technical professional identity but a critically engaged one.</w:t>
      </w:r>
    </w:p>
    <w:p w14:paraId="2AA74D9C" w14:textId="77777777" w:rsidR="00834E21" w:rsidRDefault="00000000">
      <w:pPr>
        <w:spacing w:after="160" w:line="360" w:lineRule="auto"/>
        <w:ind w:firstLine="720"/>
        <w:jc w:val="both"/>
      </w:pPr>
      <w:r>
        <w:t>Olsen and LaGree (2023) found that professional relationships were key to the formation of professional identity among early-career women, noting that role models and networks of professional contacts helped young women understand and navigate the norms and expectations of their professional fields while cultivating a sense of their own professional potential. These findings underscore the relational dimension of professional identity development, suggesting that who one surrounds oneself with during graduate study and early career has a profound influence on the professional identity that emerges.</w:t>
      </w:r>
    </w:p>
    <w:p w14:paraId="6F591F81" w14:textId="77777777" w:rsidR="00834E21" w:rsidRDefault="00000000">
      <w:pPr>
        <w:pStyle w:val="Heading2"/>
        <w:spacing w:after="120"/>
      </w:pPr>
      <w:r>
        <w:t>10.2 Resume and Portfolio Development</w:t>
      </w:r>
    </w:p>
    <w:p w14:paraId="491A7CCB" w14:textId="77777777" w:rsidR="00834E21" w:rsidRDefault="00000000">
      <w:pPr>
        <w:spacing w:after="160" w:line="360" w:lineRule="auto"/>
        <w:ind w:firstLine="720"/>
        <w:jc w:val="both"/>
      </w:pPr>
      <w:r>
        <w:t xml:space="preserve">The professional resume remains the primary document through which sport management graduates present their qualifications to prospective employers. A well-crafted resume </w:t>
      </w:r>
      <w:r>
        <w:lastRenderedPageBreak/>
        <w:t>communicates not only what the candidate has done but the competencies those experiences developed and the professional value the candidate will bring to the employing organization. At the graduate level, resumes should convey both academic preparation and applied competency, with particular attention to quantitative evidence of impact wherever possible.</w:t>
      </w:r>
    </w:p>
    <w:p w14:paraId="18324500" w14:textId="77777777" w:rsidR="00834E21" w:rsidRDefault="00000000">
      <w:pPr>
        <w:spacing w:after="160" w:line="360" w:lineRule="auto"/>
        <w:ind w:firstLine="720"/>
        <w:jc w:val="both"/>
      </w:pPr>
      <w:r>
        <w:t>Graduate-level sport management resumes typically include sections for education, professional experience (including graduate assistantships, internships, and practicum placements), research and publication activity where applicable, professional development activities including conference attendance and certifications, and leadership roles in academic or professional organizations. Each experience description should communicate not merely what the candidate did but what they contributed and what they learned, using active verbs and specific, measurable outcomes to demonstrate professional effectiveness.</w:t>
      </w:r>
    </w:p>
    <w:p w14:paraId="5B8DCEE4" w14:textId="77777777" w:rsidR="00834E21" w:rsidRDefault="00000000">
      <w:pPr>
        <w:spacing w:after="160" w:line="360" w:lineRule="auto"/>
        <w:ind w:firstLine="720"/>
        <w:jc w:val="both"/>
      </w:pPr>
      <w:r>
        <w:t xml:space="preserve">Professional portfolios complement the resume by providing rich, curated evidence of competency development across multiple domains. Digital portfolios accessible through platforms such as LinkedIn, personal websites, or dedicated portfolio platforms allow candidates to showcase work samples, project documentation, video presentations, client testimonials, and reflective narratives that demonstrate the depth and breadth of their professional preparation. Smolarek and </w:t>
      </w:r>
      <w:proofErr w:type="spellStart"/>
      <w:r>
        <w:t>Dziendziora</w:t>
      </w:r>
      <w:proofErr w:type="spellEnd"/>
      <w:r>
        <w:t xml:space="preserve"> (2022) found that personal branding through the strategic presentation of professional accomplishments and capabilities was positively associated with career success among managers, suggesting that the deliberate curation and presentation of professional evidence is a form of strategic career investment with real returns.</w:t>
      </w:r>
    </w:p>
    <w:p w14:paraId="6A46DC03" w14:textId="77777777" w:rsidR="00834E21" w:rsidRDefault="00000000">
      <w:pPr>
        <w:pStyle w:val="Heading2"/>
        <w:spacing w:after="120"/>
      </w:pPr>
      <w:r>
        <w:t>10.3 Interview Preparation</w:t>
      </w:r>
    </w:p>
    <w:p w14:paraId="3B736177" w14:textId="77777777" w:rsidR="00834E21" w:rsidRDefault="00000000">
      <w:pPr>
        <w:spacing w:after="160" w:line="360" w:lineRule="auto"/>
        <w:ind w:firstLine="720"/>
        <w:jc w:val="both"/>
      </w:pPr>
      <w:r>
        <w:t>Interview preparation is among the most concrete and immediately actionable career development activities available to graduate students, and yet many candidates significantly underinvest in it. Effective interview preparation involves researching the organization and role thoroughly, developing compelling and specific answers to likely interview questions grounded in concrete examples from applied learning experiences, preparing thoughtful questions that demonstrate strategic interest in the organization, practicing delivering responses fluently and confidently, and attending to the logistical dimensions of the interview including appropriate dress, punctual arrival, and professional follow-up.</w:t>
      </w:r>
    </w:p>
    <w:p w14:paraId="546EEE2B" w14:textId="77777777" w:rsidR="00834E21" w:rsidRDefault="00000000">
      <w:pPr>
        <w:spacing w:after="160" w:line="360" w:lineRule="auto"/>
        <w:ind w:firstLine="720"/>
        <w:jc w:val="both"/>
      </w:pPr>
      <w:r>
        <w:lastRenderedPageBreak/>
        <w:t xml:space="preserve">The behavioral interview format, in which candidates are asked to describe specific past experiences that demonstrate relevant competencies, is the dominant approach in sport management hiring contexts. The STAR framework, which structures behavioral responses around Situation, Task, Action, and Result, provides a reliable format for delivering concise, compelling, evidence-based responses that allow interviewers to assess the candidate's actual behavioral history rather than their abstract self-assessment. Graduate students who invest time in developing a library of STAR-formatted responses drawing on their graduate assistantship, internship, and </w:t>
      </w:r>
      <w:proofErr w:type="gramStart"/>
      <w:r>
        <w:t>service learning</w:t>
      </w:r>
      <w:proofErr w:type="gramEnd"/>
      <w:r>
        <w:t xml:space="preserve"> experiences are substantially better prepared for behavioral interviews than those who rely on improvised responses.</w:t>
      </w:r>
    </w:p>
    <w:p w14:paraId="3EB3BC97" w14:textId="77777777" w:rsidR="00834E21" w:rsidRDefault="00000000">
      <w:pPr>
        <w:spacing w:after="160" w:line="360" w:lineRule="auto"/>
        <w:ind w:firstLine="720"/>
        <w:jc w:val="both"/>
      </w:pPr>
      <w:r>
        <w:t>Tiessen et al. (2019) found that the relationship between experiential learning and career outcomes was strongly mediated by students' ability to articulate the specific competencies they developed through applied learning. This finding has direct implications for interview preparation, suggesting that the ability to connect applied learning experiences to specific, valued professional competencies in clear, concrete language is itself a critical career competency. Graduate programs that incorporate mock interviews, interview coaching, and structured reflection on the career stories generated by experiential learning produce graduates who interview more effectively and transition to employment more successfully.</w:t>
      </w:r>
    </w:p>
    <w:p w14:paraId="1056C5F3" w14:textId="77777777" w:rsidR="00834E21" w:rsidRDefault="00000000">
      <w:pPr>
        <w:pStyle w:val="Heading2"/>
        <w:spacing w:after="120"/>
      </w:pPr>
      <w:r>
        <w:t>10.4 Personal Branding in Sports</w:t>
      </w:r>
    </w:p>
    <w:p w14:paraId="6BF4ADA0" w14:textId="77777777" w:rsidR="00834E21" w:rsidRDefault="00000000">
      <w:pPr>
        <w:spacing w:after="160" w:line="360" w:lineRule="auto"/>
        <w:ind w:firstLine="720"/>
        <w:jc w:val="both"/>
      </w:pPr>
      <w:r>
        <w:t>Personal branding in the sport management professional context refers to the deliberate, strategic process of developing and communicating a distinctive professional identity that positions the individual favorably in their target professional market. Effective personal branding involves identifying and articulating one's unique combination of values, competencies, experiences, and perspectives; communicating that brand consistently across professional interactions, digital platforms, and portfolio materials; and building the visibility and credibility that attract professional opportunities.</w:t>
      </w:r>
    </w:p>
    <w:p w14:paraId="24B5D5BA" w14:textId="77777777" w:rsidR="00834E21" w:rsidRDefault="00000000">
      <w:pPr>
        <w:spacing w:after="160" w:line="360" w:lineRule="auto"/>
        <w:ind w:firstLine="720"/>
        <w:jc w:val="both"/>
      </w:pPr>
      <w:r>
        <w:t xml:space="preserve">Jacobson (2020) defined personal branding as the process of developing, harnessing and classifying personal information and providing a comprehensive narrative for others to easily understand one's identity, often using social media. This definition connects personal branding directly to narrative competency, the ability to construct and communicate a coherent, compelling, </w:t>
      </w:r>
      <w:r>
        <w:lastRenderedPageBreak/>
        <w:t>authentic professional story that helps professional audiences understand who one is and why one's professional identity is distinctive and valuable.</w:t>
      </w:r>
    </w:p>
    <w:p w14:paraId="6ED50B1F" w14:textId="77777777" w:rsidR="00834E21" w:rsidRDefault="00000000">
      <w:pPr>
        <w:spacing w:after="160" w:line="360" w:lineRule="auto"/>
        <w:ind w:firstLine="720"/>
        <w:jc w:val="both"/>
      </w:pPr>
      <w:r>
        <w:t>Park et al. (2020) studied the personal branding practices of student-athletes on social media and identified that effective personal branding strategies for athletes require awareness of both the benefits of proactive self-presentation and the risks of negative consequences from undisciplined social media activity. This tension between visibility and risk management is equally applicable to sport management professionals, who must navigate the competing pressures of demonstrating professional personality and passion through digital channels while maintaining the professional judgment and restraint that organizational stakeholders expect. Graduate students who develop a nuanced, evidence-informed approach to personal branding are better positioned to leverage digital platforms for career advancement without incurring the reputational costs of undisciplined self-presentation.</w:t>
      </w:r>
    </w:p>
    <w:p w14:paraId="7E189A32" w14:textId="77777777" w:rsidR="00834E21" w:rsidRDefault="00834E21">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34E21" w14:paraId="0CB3DE5D" w14:textId="77777777">
        <w:tblPrEx>
          <w:tblCellMar>
            <w:top w:w="0" w:type="dxa"/>
            <w:bottom w:w="0" w:type="dxa"/>
          </w:tblCellMar>
        </w:tblPrEx>
        <w:tc>
          <w:tcPr>
            <w:tcW w:w="0" w:type="auto"/>
            <w:tcBorders>
              <w:top w:val="single" w:sz="6" w:space="0" w:color="1A4A6B"/>
              <w:left w:val="single" w:sz="6" w:space="0" w:color="1A4A6B"/>
              <w:bottom w:val="none" w:sz="0" w:space="0" w:color="FFFFFF"/>
              <w:right w:val="single" w:sz="6" w:space="0" w:color="1A4A6B"/>
            </w:tcBorders>
            <w:shd w:val="clear" w:color="auto" w:fill="1A4A6B"/>
            <w:tcMar>
              <w:top w:w="120" w:type="dxa"/>
              <w:left w:w="200" w:type="dxa"/>
              <w:bottom w:w="100" w:type="dxa"/>
              <w:right w:w="200" w:type="dxa"/>
            </w:tcMar>
          </w:tcPr>
          <w:p w14:paraId="10E06CA0" w14:textId="77777777" w:rsidR="00834E21" w:rsidRDefault="00000000">
            <w:r>
              <w:rPr>
                <w:rFonts w:ascii="Arial" w:eastAsia="Arial" w:hAnsi="Arial" w:cs="Arial"/>
                <w:b/>
                <w:bCs/>
                <w:caps/>
                <w:color w:val="D4A843"/>
                <w:sz w:val="20"/>
                <w:szCs w:val="20"/>
              </w:rPr>
              <w:t xml:space="preserve">PRACTITIONER NOTE   |   </w:t>
            </w:r>
            <w:r>
              <w:rPr>
                <w:rFonts w:ascii="Arial" w:eastAsia="Arial" w:hAnsi="Arial" w:cs="Arial"/>
                <w:b/>
                <w:bCs/>
                <w:color w:val="FFFFFF"/>
                <w:sz w:val="20"/>
                <w:szCs w:val="20"/>
              </w:rPr>
              <w:t>From the Field: Building a Brand That Lasts</w:t>
            </w:r>
          </w:p>
        </w:tc>
      </w:tr>
      <w:tr w:rsidR="00834E21" w14:paraId="51319D30" w14:textId="77777777">
        <w:tblPrEx>
          <w:tblCellMar>
            <w:top w:w="0" w:type="dxa"/>
            <w:bottom w:w="0" w:type="dxa"/>
          </w:tblCellMar>
        </w:tblPrEx>
        <w:tc>
          <w:tcPr>
            <w:tcW w:w="0" w:type="auto"/>
            <w:tcBorders>
              <w:top w:val="none" w:sz="0" w:space="0" w:color="FFFFFF"/>
              <w:left w:val="single" w:sz="6" w:space="0" w:color="1A4A6B"/>
              <w:bottom w:val="single" w:sz="6" w:space="0" w:color="1A4A6B"/>
              <w:right w:val="single" w:sz="6" w:space="0" w:color="1A4A6B"/>
            </w:tcBorders>
            <w:shd w:val="clear" w:color="auto" w:fill="EBF2FA"/>
            <w:tcMar>
              <w:top w:w="140" w:type="dxa"/>
              <w:left w:w="200" w:type="dxa"/>
              <w:bottom w:w="140" w:type="dxa"/>
              <w:right w:w="200" w:type="dxa"/>
            </w:tcMar>
          </w:tcPr>
          <w:p w14:paraId="6B665E04" w14:textId="77777777" w:rsidR="00834E21" w:rsidRDefault="00000000">
            <w:pPr>
              <w:spacing w:line="320" w:lineRule="auto"/>
              <w:jc w:val="both"/>
            </w:pPr>
            <w:r>
              <w:rPr>
                <w:color w:val="1A1A1A"/>
                <w:sz w:val="22"/>
                <w:szCs w:val="22"/>
              </w:rPr>
              <w:t>A sport management professional who built a successful consulting practice after a decade in professional sport operations offered this advice to graduate students developing their personal brands: Your brand is not your LinkedIn profile or your resume. Your brand is what people say about you in rooms you are not in. It is the answer to the question: what problem does this person solve, and can I trust them to solve it well? Every professional interaction you have, every piece of work you produce, every commitment you honor or fail to honor, is adding to or subtracting from that brand. Jacobson (2020) described effective personal branding as a comprehensive narrative that others can readily understand and trust. Graduate students who approach their early careers with this consciousness, understanding that they are building a professional reputation with every interaction, will arrive at mid-career with an asset that no single credential or job title can replicate.</w:t>
            </w:r>
          </w:p>
        </w:tc>
      </w:tr>
    </w:tbl>
    <w:p w14:paraId="77681D44" w14:textId="77777777" w:rsidR="00834E21" w:rsidRDefault="00834E21">
      <w:pPr>
        <w:spacing w:before="200"/>
      </w:pPr>
    </w:p>
    <w:p w14:paraId="7037A9F1" w14:textId="77777777" w:rsidR="00834E21" w:rsidRDefault="00000000">
      <w:pPr>
        <w:pStyle w:val="Heading2"/>
        <w:spacing w:after="120"/>
      </w:pPr>
      <w:r>
        <w:t>10.5 Developing a Long-Term Career Strategy</w:t>
      </w:r>
    </w:p>
    <w:p w14:paraId="227F8680" w14:textId="77777777" w:rsidR="00834E21" w:rsidRDefault="00000000">
      <w:pPr>
        <w:spacing w:after="160" w:line="360" w:lineRule="auto"/>
        <w:ind w:firstLine="720"/>
        <w:jc w:val="both"/>
      </w:pPr>
      <w:r>
        <w:t xml:space="preserve">A long-term career strategy is a dynamic, reflectively updated framework for navigating professional development across multiple career phases, organizational contexts, and life circumstances. Unlike a static career plan that specifies predetermined destinations and timelines, a career strategy is a flexible, values-grounded approach to professional decision-making that </w:t>
      </w:r>
      <w:r>
        <w:lastRenderedPageBreak/>
        <w:t>accommodates the inherent unpredictability of career development in a dynamic industry. The most effective career strategies combine a clear sense of core professional values and aspirations with a realistic assessment of the current professional landscape, a specific set of near-term developmental goals, and a commitment to ongoing learning and adaptation.</w:t>
      </w:r>
    </w:p>
    <w:p w14:paraId="1157B166" w14:textId="77777777" w:rsidR="00834E21" w:rsidRDefault="00000000">
      <w:pPr>
        <w:spacing w:after="160" w:line="360" w:lineRule="auto"/>
        <w:ind w:firstLine="720"/>
        <w:jc w:val="both"/>
      </w:pPr>
      <w:r>
        <w:t>Odio and Menaker (2023) documented that careers in sport management are characterized by high mobility, with professionals changing jobs and organizational sectors at higher rates than many other professional fields. This structural reality suggests that the most valuable career strategy for sport management graduates is not a plan to reach a specific position in a specific organization but a commitment to developing a portfolio of transferable competencies, authentic professional relationships, and adaptive professional learning practices that sustain career growth across multiple organizational contexts.</w:t>
      </w:r>
    </w:p>
    <w:p w14:paraId="6C3D41CF" w14:textId="77777777" w:rsidR="00834E21" w:rsidRDefault="00000000">
      <w:pPr>
        <w:spacing w:after="160" w:line="360" w:lineRule="auto"/>
        <w:ind w:firstLine="720"/>
        <w:jc w:val="both"/>
      </w:pPr>
      <w:r>
        <w:t>Cosentino et al. (2021) found that women who achieved senior leadership positions in professional sport consistently described making career moves that were challenging and developmental and that helped them expand their network of colleagues and mentors. This pattern of intentional developmental challenge, a willingness to pursue roles that stretch one's competencies rather than merely confirming them, is one of the most consistent predictors of long-term career advancement across the leadership development literature. Graduate students who approach each career decision with an eye toward developmental challenge, not merely comfort or short-term advancement, will build the professional capability and adaptive resilience that distinguish long-term high performers.</w:t>
      </w:r>
    </w:p>
    <w:p w14:paraId="0512A567" w14:textId="77777777" w:rsidR="00834E21" w:rsidRDefault="00000000">
      <w:pPr>
        <w:spacing w:after="160" w:line="360" w:lineRule="auto"/>
        <w:ind w:firstLine="720"/>
        <w:jc w:val="both"/>
      </w:pPr>
      <w:r>
        <w:t xml:space="preserve">The concept of career capital, the distinctive combination of skills, experiences, relationships, and reputation that a professional accumulates over time, provides a useful framework for understanding long-term career strategy in sport management. </w:t>
      </w:r>
      <w:proofErr w:type="spellStart"/>
      <w:r>
        <w:t>Wohlfart</w:t>
      </w:r>
      <w:proofErr w:type="spellEnd"/>
      <w:r>
        <w:t xml:space="preserve"> et al. (2021) documented that sport industry employers consistently value professionals who can demonstrate not just a list of positions held but a coherent narrative of competency development across those positions. The most effective long-term career strategists are not those who optimize for the most prestigious positions at each step but those who optimize for the developmental value of each experience, asking what specific competencies will this position develop that I do not yet have, and how will those competencies position me for the professional impact I aspire to create.</w:t>
      </w:r>
    </w:p>
    <w:p w14:paraId="376015FE" w14:textId="77777777" w:rsidR="00834E21" w:rsidRDefault="00000000">
      <w:pPr>
        <w:spacing w:after="160" w:line="360" w:lineRule="auto"/>
        <w:ind w:firstLine="720"/>
        <w:jc w:val="both"/>
      </w:pPr>
      <w:r>
        <w:lastRenderedPageBreak/>
        <w:t xml:space="preserve">The relationship between personal branding and professional reputation deserves careful examination at the graduate level. </w:t>
      </w:r>
      <w:proofErr w:type="spellStart"/>
      <w:r>
        <w:t>Mastromartino</w:t>
      </w:r>
      <w:proofErr w:type="spellEnd"/>
      <w:r>
        <w:t xml:space="preserve"> (2024) found that the professionals who built the most durable careers in sport marketing were those who developed genuine expertise rather than simply projecting expertise through digital branding. A personal brand built on authentic competency and consistent delivery attracts opportunities that match one's actual capabilities, while a brand that outpaces actual competency creates expectations that are difficult to meet. Graduate students who invest as heavily in developing genuine competency as they do in communicating that competency will build professional reputations that compound positively throughout their careers.</w:t>
      </w:r>
    </w:p>
    <w:p w14:paraId="7C38863D" w14:textId="77777777" w:rsidR="00834E21" w:rsidRDefault="00000000">
      <w:pPr>
        <w:pStyle w:val="Heading2"/>
        <w:spacing w:after="120"/>
      </w:pPr>
      <w:r>
        <w:t>10.6 Entrepreneurship and Consulting Opportunities</w:t>
      </w:r>
    </w:p>
    <w:p w14:paraId="1F82D19E" w14:textId="77777777" w:rsidR="00834E21" w:rsidRDefault="00000000">
      <w:pPr>
        <w:spacing w:after="160" w:line="360" w:lineRule="auto"/>
        <w:ind w:firstLine="720"/>
        <w:jc w:val="both"/>
      </w:pPr>
      <w:r>
        <w:t>The sport management field offers growing opportunities for entrepreneurial professionals who aspire to build their own organizations, products, and services rather than pursuing traditional employment pathways. Sport entrepreneurship encompasses the development of new sport organizations, sport technology products, sport tourism services, sport-based social enterprises, athlete management firms, and sport management consulting practices. The sport industry's appetite for innovation, combined with the growth of the broader entrepreneurial ecosystem, has created more accessible pathways to sport entrepreneurship than existed in previous generations.</w:t>
      </w:r>
    </w:p>
    <w:p w14:paraId="78B04CD2" w14:textId="6153F917" w:rsidR="00834E21" w:rsidRDefault="00000000">
      <w:pPr>
        <w:spacing w:after="160" w:line="360" w:lineRule="auto"/>
        <w:ind w:firstLine="720"/>
        <w:jc w:val="both"/>
      </w:pPr>
      <w:r>
        <w:t>Perry et al. (2022) noted that the belief that sport management programs should involve more business dimensions and entrepreneurship education is trending in the field, reflecting a recognition that entrepreneurial competencies</w:t>
      </w:r>
      <w:r w:rsidR="00D5035A">
        <w:t>,</w:t>
      </w:r>
      <w:r>
        <w:t xml:space="preserve"> including opportunity identification, business model development, resource acquisition, and innovative problem-solving</w:t>
      </w:r>
      <w:r w:rsidR="00D5035A">
        <w:t>,</w:t>
      </w:r>
      <w:r>
        <w:t xml:space="preserve"> are valuable not only for those who start organizations but for all professionals navigating a dynamic industry. Graduate students who develop an entrepreneurial orientation during their academic preparation will be more effective intrapreneur</w:t>
      </w:r>
      <w:r w:rsidR="00D5035A">
        <w:t>s</w:t>
      </w:r>
      <w:r>
        <w:t xml:space="preserve"> within established organizations as well as more capable founders of new ventures.</w:t>
      </w:r>
    </w:p>
    <w:p w14:paraId="1E801DDC" w14:textId="77777777" w:rsidR="00834E21" w:rsidRDefault="00000000">
      <w:pPr>
        <w:spacing w:after="160" w:line="360" w:lineRule="auto"/>
        <w:ind w:firstLine="720"/>
        <w:jc w:val="both"/>
      </w:pPr>
      <w:r>
        <w:t xml:space="preserve">Sport management consulting represents another entrepreneurial career pathway that has grown significantly as organizations increasingly seek external expertise for strategic planning, market research, organizational assessment, operational improvement, and specialized project management. Graduate students who develop deep functional expertise in a specific area of sport management, combined with the communication, project management, and client relationship </w:t>
      </w:r>
      <w:r>
        <w:lastRenderedPageBreak/>
        <w:t>skills that consulting demands, are positioned to pursue consulting opportunities either within established firms or as independent practitioners. The portfolio of applied learning work accumulated during graduate study provides the initial evidence of capability that consulting requires.</w:t>
      </w:r>
    </w:p>
    <w:p w14:paraId="34064748" w14:textId="77777777" w:rsidR="00834E21" w:rsidRDefault="00000000">
      <w:pPr>
        <w:pStyle w:val="Heading2"/>
        <w:spacing w:after="120"/>
      </w:pPr>
      <w:r>
        <w:t>10.7 Lifelong Learning and Professional Development</w:t>
      </w:r>
    </w:p>
    <w:p w14:paraId="6FE95E22" w14:textId="77777777" w:rsidR="00834E21" w:rsidRDefault="00000000">
      <w:pPr>
        <w:spacing w:after="160" w:line="360" w:lineRule="auto"/>
        <w:ind w:firstLine="720"/>
        <w:jc w:val="both"/>
      </w:pPr>
      <w:r>
        <w:t>The sport management professional landscape is in continuous evolution, driven by technological change, demographic shifts, policy developments, economic restructuring, and the emergence of new sport forms and organizational models. Professionals who remain competitive throughout long careers in this environment will be those who commit to lifelong learning and continuous professional development, not merely those who build strong initial preparation. The habits of reading, reflecting, networking, attending professional development programs, and seeking feedback that graduate students develop during their academic preparation form the foundation of this career-sustaining learning orientation.</w:t>
      </w:r>
    </w:p>
    <w:p w14:paraId="66CD3B68" w14:textId="77777777" w:rsidR="00834E21" w:rsidRDefault="00000000">
      <w:pPr>
        <w:spacing w:after="160" w:line="360" w:lineRule="auto"/>
        <w:ind w:firstLine="720"/>
        <w:jc w:val="both"/>
      </w:pPr>
      <w:r>
        <w:t>Graff (2012) argued that a combination of academic and experiential learning probably qualifies individuals best for career shifts, as it leads them to a higher order of competence, and that career shifts can blow new air into a person's career and enrich both the individual and the organization they serve. This perspective normalizes career evolution as a source of renewal rather than instability, positioning the adaptive professional who continuously learns and grows as the ideal type for the dynamic sport management landscape.</w:t>
      </w:r>
    </w:p>
    <w:p w14:paraId="6A6CE4C3" w14:textId="77777777" w:rsidR="00834E21" w:rsidRDefault="00000000">
      <w:pPr>
        <w:spacing w:after="160" w:line="360" w:lineRule="auto"/>
        <w:ind w:firstLine="720"/>
        <w:jc w:val="both"/>
      </w:pPr>
      <w:r>
        <w:t>McNiff et al. (2014) offered a set of practical recommendations for sport management students that are equally applicable throughout professional careers: learning from every class, every person, and every activity; using mentors as a sounding board and career guide; getting involved in student clubs, event management, and local organizations; doing as many internships as possible; and learning everything possible from each one. These simple habits, applied with genuine curiosity and reflective discipline across the full span of a professional career, constitute the most reliable foundation for long-term professional growth and impact in the sport management field.</w:t>
      </w:r>
    </w:p>
    <w:p w14:paraId="10B1774C" w14:textId="77777777" w:rsidR="00D5035A" w:rsidRDefault="00D5035A">
      <w:pPr>
        <w:pStyle w:val="Heading2"/>
        <w:spacing w:after="120"/>
      </w:pPr>
    </w:p>
    <w:p w14:paraId="4BD9A5BF" w14:textId="6D87E036" w:rsidR="00834E21" w:rsidRDefault="00000000">
      <w:pPr>
        <w:pStyle w:val="Heading2"/>
        <w:spacing w:after="120"/>
      </w:pPr>
      <w:r>
        <w:lastRenderedPageBreak/>
        <w:t>Discussion Questions</w:t>
      </w:r>
    </w:p>
    <w:p w14:paraId="77B87D68" w14:textId="77777777" w:rsidR="00834E21" w:rsidRDefault="00000000">
      <w:pPr>
        <w:spacing w:before="100" w:after="60" w:line="320" w:lineRule="auto"/>
        <w:ind w:left="720" w:hanging="360"/>
        <w:jc w:val="both"/>
      </w:pPr>
      <w:r>
        <w:rPr>
          <w:b/>
          <w:bCs/>
          <w:sz w:val="22"/>
          <w:szCs w:val="22"/>
        </w:rPr>
        <w:t xml:space="preserve">1. </w:t>
      </w:r>
      <w:r>
        <w:rPr>
          <w:sz w:val="22"/>
          <w:szCs w:val="22"/>
        </w:rPr>
        <w:t>Jacobson (2020) found that social media managers embody the mentality of being "always-on-the-job-market" as a driver for personal branding. Is this orientation healthy and professionally sustainable, or does it represent an unhealthy blurring of personal and professional identity? How should sport management professionals navigate the tension between personal authenticity and professional brand management?</w:t>
      </w:r>
    </w:p>
    <w:p w14:paraId="7BAFE3A2" w14:textId="77777777" w:rsidR="00834E21" w:rsidRDefault="00000000">
      <w:pPr>
        <w:spacing w:before="100" w:after="60" w:line="320" w:lineRule="auto"/>
        <w:ind w:left="720" w:hanging="360"/>
        <w:jc w:val="both"/>
      </w:pPr>
      <w:r>
        <w:rPr>
          <w:b/>
          <w:bCs/>
          <w:sz w:val="22"/>
          <w:szCs w:val="22"/>
        </w:rPr>
        <w:t xml:space="preserve">2. </w:t>
      </w:r>
      <w:r>
        <w:rPr>
          <w:sz w:val="22"/>
          <w:szCs w:val="22"/>
        </w:rPr>
        <w:t>Odio and Menaker (2023) found that sport careers are characterized by high organizational mobility. How does this structural reality affect your approach to long-term career strategy? What specific competencies and relationships would you prioritize developing to maximize career resilience across organizational contexts?</w:t>
      </w:r>
    </w:p>
    <w:p w14:paraId="25BCAA6D" w14:textId="77777777" w:rsidR="00834E21" w:rsidRDefault="00000000">
      <w:pPr>
        <w:spacing w:before="100" w:after="60" w:line="320" w:lineRule="auto"/>
        <w:ind w:left="720" w:hanging="360"/>
        <w:jc w:val="both"/>
      </w:pPr>
      <w:r>
        <w:rPr>
          <w:b/>
          <w:bCs/>
          <w:sz w:val="22"/>
          <w:szCs w:val="22"/>
        </w:rPr>
        <w:t xml:space="preserve">3. </w:t>
      </w:r>
      <w:r>
        <w:rPr>
          <w:sz w:val="22"/>
          <w:szCs w:val="22"/>
        </w:rPr>
        <w:t>Cosentino et al. (2021) found that senior sport leaders consistently described making developmental career moves rather than merely advancing to higher-status positions. Identify a specific developmental career move you could make in the next two years that would stretch your competencies and expand your professional network, even if it did not represent the most straightforward advancement of your current career trajectory.</w:t>
      </w:r>
    </w:p>
    <w:p w14:paraId="51E2D2B7" w14:textId="77777777" w:rsidR="00834E21" w:rsidRDefault="00000000">
      <w:pPr>
        <w:spacing w:before="100" w:after="60" w:line="320" w:lineRule="auto"/>
        <w:ind w:left="720" w:hanging="360"/>
        <w:jc w:val="both"/>
      </w:pPr>
      <w:r>
        <w:rPr>
          <w:b/>
          <w:bCs/>
          <w:sz w:val="22"/>
          <w:szCs w:val="22"/>
        </w:rPr>
        <w:t xml:space="preserve">4. </w:t>
      </w:r>
      <w:r>
        <w:rPr>
          <w:sz w:val="22"/>
          <w:szCs w:val="22"/>
        </w:rPr>
        <w:t>Graff (2012) argued that career shifts can enrich both individuals and the organizations they serve. Given the reality that many sport management graduates will work outside the sport industry at some point in their careers, how should sport management graduate programs design curricula that maximize the transferability of sport management competencies across industry boundaries?</w:t>
      </w:r>
    </w:p>
    <w:p w14:paraId="05BA9C63" w14:textId="77777777" w:rsidR="00834E21" w:rsidRDefault="00000000">
      <w:pPr>
        <w:spacing w:before="100" w:after="60" w:line="320" w:lineRule="auto"/>
        <w:ind w:left="720" w:hanging="360"/>
        <w:jc w:val="both"/>
      </w:pPr>
      <w:r>
        <w:rPr>
          <w:b/>
          <w:bCs/>
          <w:sz w:val="22"/>
          <w:szCs w:val="22"/>
        </w:rPr>
        <w:t xml:space="preserve">5. </w:t>
      </w:r>
      <w:r>
        <w:rPr>
          <w:sz w:val="22"/>
          <w:szCs w:val="22"/>
        </w:rPr>
        <w:t>Park et al. (2020) found that effective personal branding requires awareness of both benefits and risks of social media use. Conduct an audit of your own digital presence across all platforms and write a critical analysis of the degree to which your current digital presence supports or undermines the professional brand you aspire to develop.</w:t>
      </w:r>
    </w:p>
    <w:p w14:paraId="3352FFA8" w14:textId="77777777" w:rsidR="00834E21" w:rsidRDefault="00000000">
      <w:pPr>
        <w:pStyle w:val="Heading2"/>
        <w:spacing w:after="120"/>
      </w:pPr>
      <w:r>
        <w:t>Reflection Practices</w:t>
      </w:r>
    </w:p>
    <w:p w14:paraId="12268DDA" w14:textId="77777777" w:rsidR="00834E21" w:rsidRDefault="00834E21">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17"/>
        <w:gridCol w:w="7743"/>
      </w:tblGrid>
      <w:tr w:rsidR="00834E21" w14:paraId="49C223D4"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4D59A756" w14:textId="77777777" w:rsidR="00834E21" w:rsidRDefault="00000000">
            <w:pPr>
              <w:jc w:val="center"/>
            </w:pPr>
            <w:r>
              <w:rPr>
                <w:rFonts w:ascii="Arial" w:eastAsia="Arial" w:hAnsi="Arial" w:cs="Arial"/>
                <w:b/>
                <w:bCs/>
                <w:color w:val="2E4057"/>
                <w:sz w:val="28"/>
                <w:szCs w:val="28"/>
              </w:rPr>
              <w:t>1</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03756576" w14:textId="77777777" w:rsidR="00834E21" w:rsidRDefault="00000000">
            <w:pPr>
              <w:spacing w:line="300" w:lineRule="auto"/>
              <w:jc w:val="both"/>
            </w:pPr>
            <w:r>
              <w:rPr>
                <w:b/>
                <w:bCs/>
                <w:color w:val="2E4057"/>
                <w:sz w:val="22"/>
                <w:szCs w:val="22"/>
              </w:rPr>
              <w:t xml:space="preserve">Five-Year Career Roadmap Final Version: Drawing on all the reflection practices, informational interviews, applied learning experiences, and course discussions from throughout this course, produce the final version of your five-year career roadmap. </w:t>
            </w:r>
            <w:r>
              <w:rPr>
                <w:color w:val="1A1A1A"/>
                <w:sz w:val="22"/>
                <w:szCs w:val="22"/>
              </w:rPr>
              <w:t>The document should include: a clear professional identity statement; specific roles you aspire to hold at Years 1, 3, and 5; the experiential learning opportunities, professional development activities, and networking milestones required to pursue each role; a contingency analysis identifying alternative pathways if primary routes are unavailable; and a reflection on the values and principles that will guide your decision-making throughout.</w:t>
            </w:r>
          </w:p>
        </w:tc>
      </w:tr>
      <w:tr w:rsidR="00834E21" w14:paraId="4D3148ED"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37E54C31" w14:textId="77777777" w:rsidR="00834E21" w:rsidRDefault="00000000">
            <w:pPr>
              <w:jc w:val="center"/>
            </w:pPr>
            <w:r>
              <w:rPr>
                <w:rFonts w:ascii="Arial" w:eastAsia="Arial" w:hAnsi="Arial" w:cs="Arial"/>
                <w:b/>
                <w:bCs/>
                <w:color w:val="2E4057"/>
                <w:sz w:val="28"/>
                <w:szCs w:val="28"/>
              </w:rPr>
              <w:lastRenderedPageBreak/>
              <w:t>2</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72A8B4E9" w14:textId="77777777" w:rsidR="00834E21" w:rsidRDefault="00000000">
            <w:pPr>
              <w:spacing w:line="300" w:lineRule="auto"/>
              <w:jc w:val="both"/>
            </w:pPr>
            <w:r>
              <w:rPr>
                <w:b/>
                <w:bCs/>
                <w:color w:val="2E4057"/>
                <w:sz w:val="22"/>
                <w:szCs w:val="22"/>
              </w:rPr>
              <w:t xml:space="preserve">Personal Brand Audit and Strategy: Conduct a comprehensive audit of your current personal brand across all professional platforms, in-person interactions, and portfolio materials. </w:t>
            </w:r>
            <w:r>
              <w:rPr>
                <w:color w:val="1A1A1A"/>
                <w:sz w:val="22"/>
                <w:szCs w:val="22"/>
              </w:rPr>
              <w:t>Write a 700-word brand strategy document that articulates your current brand, the brand you aspire to develop, the gaps between them, and a specific 12-month action plan for closing those gaps through concrete activities.</w:t>
            </w:r>
          </w:p>
        </w:tc>
      </w:tr>
      <w:tr w:rsidR="00834E21" w14:paraId="020B8DD3"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76C796B8" w14:textId="77777777" w:rsidR="00834E21" w:rsidRDefault="00000000">
            <w:pPr>
              <w:jc w:val="center"/>
            </w:pPr>
            <w:r>
              <w:rPr>
                <w:rFonts w:ascii="Arial" w:eastAsia="Arial" w:hAnsi="Arial" w:cs="Arial"/>
                <w:b/>
                <w:bCs/>
                <w:color w:val="2E4057"/>
                <w:sz w:val="28"/>
                <w:szCs w:val="28"/>
              </w:rPr>
              <w:t>3</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61EDFCE3" w14:textId="77777777" w:rsidR="00834E21" w:rsidRDefault="00000000">
            <w:pPr>
              <w:spacing w:line="300" w:lineRule="auto"/>
              <w:jc w:val="both"/>
            </w:pPr>
            <w:r>
              <w:rPr>
                <w:b/>
                <w:bCs/>
                <w:color w:val="2E4057"/>
                <w:sz w:val="22"/>
                <w:szCs w:val="22"/>
              </w:rPr>
              <w:t>Professional Portfolio Completion: Complete your professional portfolio, ensuring it includes at minimum: a professional summary; curated samples from each major applied learning experience; evidence of competency development across the NACE career readiness framework; your leadership philosophy statement in its final revised form; and a capstone reflective narrative of 1,000 to 1,500 words synthesizing your learning, growth, and professional aspirations across the full scope of your graduate program.</w:t>
            </w:r>
          </w:p>
        </w:tc>
      </w:tr>
      <w:tr w:rsidR="00834E21" w14:paraId="2D09D63D"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E2EAF5"/>
            <w:tcMar>
              <w:top w:w="100" w:type="dxa"/>
              <w:left w:w="140" w:type="dxa"/>
              <w:bottom w:w="100" w:type="dxa"/>
              <w:right w:w="140" w:type="dxa"/>
            </w:tcMar>
            <w:vAlign w:val="center"/>
          </w:tcPr>
          <w:p w14:paraId="104C86B6" w14:textId="77777777" w:rsidR="00834E21" w:rsidRDefault="00000000">
            <w:pPr>
              <w:jc w:val="center"/>
            </w:pPr>
            <w:r>
              <w:rPr>
                <w:rFonts w:ascii="Arial" w:eastAsia="Arial" w:hAnsi="Arial" w:cs="Arial"/>
                <w:b/>
                <w:bCs/>
                <w:color w:val="2E4057"/>
                <w:sz w:val="28"/>
                <w:szCs w:val="28"/>
              </w:rPr>
              <w:t>4</w:t>
            </w:r>
          </w:p>
        </w:tc>
        <w:tc>
          <w:tcPr>
            <w:tcW w:w="0" w:type="auto"/>
            <w:tcBorders>
              <w:top w:val="single" w:sz="2" w:space="0" w:color="CCCCCC"/>
              <w:left w:val="single" w:sz="2" w:space="0" w:color="CCCCCC"/>
              <w:bottom w:val="single" w:sz="2" w:space="0" w:color="CCCCCC"/>
              <w:right w:val="single" w:sz="4" w:space="0" w:color="2E4057"/>
            </w:tcBorders>
            <w:shd w:val="clear" w:color="auto" w:fill="FFFFFF"/>
            <w:tcMar>
              <w:top w:w="100" w:type="dxa"/>
              <w:left w:w="160" w:type="dxa"/>
              <w:bottom w:w="100" w:type="dxa"/>
              <w:right w:w="160" w:type="dxa"/>
            </w:tcMar>
          </w:tcPr>
          <w:p w14:paraId="62D8AA4A" w14:textId="77777777" w:rsidR="00834E21" w:rsidRDefault="00000000">
            <w:pPr>
              <w:spacing w:line="300" w:lineRule="auto"/>
              <w:jc w:val="both"/>
            </w:pPr>
            <w:r>
              <w:rPr>
                <w:b/>
                <w:bCs/>
                <w:color w:val="2E4057"/>
                <w:sz w:val="22"/>
                <w:szCs w:val="22"/>
              </w:rPr>
              <w:t xml:space="preserve">Lifelong Learning Commitment Plan: Write a personal lifelong learning commitment plan that identifies the specific professional communities you will participate in, the reading and professional development habits you will maintain, the mentoring and networking relationships you will sustain, and the reflective practices you will continue to use throughout your career. </w:t>
            </w:r>
            <w:r>
              <w:rPr>
                <w:color w:val="1A1A1A"/>
                <w:sz w:val="22"/>
                <w:szCs w:val="22"/>
              </w:rPr>
              <w:t>Address how you will evaluate and renew this commitment at annual intervals.</w:t>
            </w:r>
          </w:p>
        </w:tc>
      </w:tr>
      <w:tr w:rsidR="00834E21" w14:paraId="60C5C166" w14:textId="77777777" w:rsidTr="00D5035A">
        <w:tblPrEx>
          <w:tblCellMar>
            <w:top w:w="0" w:type="dxa"/>
            <w:bottom w:w="0" w:type="dxa"/>
          </w:tblCellMar>
        </w:tblPrEx>
        <w:tc>
          <w:tcPr>
            <w:tcW w:w="1617" w:type="dxa"/>
            <w:tcBorders>
              <w:top w:val="single" w:sz="2" w:space="0" w:color="CCCCCC"/>
              <w:left w:val="single" w:sz="4" w:space="0" w:color="2E4057"/>
              <w:bottom w:val="single" w:sz="2" w:space="0" w:color="CCCCCC"/>
              <w:right w:val="single" w:sz="2" w:space="0" w:color="CCCCCC"/>
            </w:tcBorders>
            <w:shd w:val="clear" w:color="auto" w:fill="D0DCF0"/>
            <w:tcMar>
              <w:top w:w="100" w:type="dxa"/>
              <w:left w:w="140" w:type="dxa"/>
              <w:bottom w:w="100" w:type="dxa"/>
              <w:right w:w="140" w:type="dxa"/>
            </w:tcMar>
            <w:vAlign w:val="center"/>
          </w:tcPr>
          <w:p w14:paraId="6D6CB793" w14:textId="77777777" w:rsidR="00834E21" w:rsidRDefault="00000000">
            <w:pPr>
              <w:jc w:val="center"/>
            </w:pPr>
            <w:r>
              <w:rPr>
                <w:rFonts w:ascii="Arial" w:eastAsia="Arial" w:hAnsi="Arial" w:cs="Arial"/>
                <w:b/>
                <w:bCs/>
                <w:color w:val="2E4057"/>
                <w:sz w:val="28"/>
                <w:szCs w:val="28"/>
              </w:rPr>
              <w:t>5</w:t>
            </w:r>
          </w:p>
        </w:tc>
        <w:tc>
          <w:tcPr>
            <w:tcW w:w="0" w:type="auto"/>
            <w:tcBorders>
              <w:top w:val="single" w:sz="2" w:space="0" w:color="CCCCCC"/>
              <w:left w:val="single" w:sz="2" w:space="0" w:color="CCCCCC"/>
              <w:bottom w:val="single" w:sz="2" w:space="0" w:color="CCCCCC"/>
              <w:right w:val="single" w:sz="4" w:space="0" w:color="2E4057"/>
            </w:tcBorders>
            <w:shd w:val="clear" w:color="auto" w:fill="F5F7FA"/>
            <w:tcMar>
              <w:top w:w="100" w:type="dxa"/>
              <w:left w:w="160" w:type="dxa"/>
              <w:bottom w:w="100" w:type="dxa"/>
              <w:right w:w="160" w:type="dxa"/>
            </w:tcMar>
          </w:tcPr>
          <w:p w14:paraId="7ECB854C" w14:textId="77777777" w:rsidR="00834E21" w:rsidRDefault="00000000">
            <w:pPr>
              <w:spacing w:line="300" w:lineRule="auto"/>
              <w:jc w:val="both"/>
            </w:pPr>
            <w:r>
              <w:rPr>
                <w:b/>
                <w:bCs/>
                <w:color w:val="2E4057"/>
                <w:sz w:val="22"/>
                <w:szCs w:val="22"/>
              </w:rPr>
              <w:t xml:space="preserve">Mock Interview and Debrief: Participate in a recorded mock interview with a faculty member or industry professional, using behavioral interview questions relevant to your target role. </w:t>
            </w:r>
            <w:r>
              <w:rPr>
                <w:color w:val="1A1A1A"/>
                <w:sz w:val="22"/>
                <w:szCs w:val="22"/>
              </w:rPr>
              <w:t>After reviewing the recording, write a structured self-evaluation assessing the clarity and specificity of your responses, the quality of your STAR-formatted examples, the effectiveness of your questions to the interviewer, and the specific improvements you will make before your next interview opportunity.</w:t>
            </w:r>
          </w:p>
        </w:tc>
      </w:tr>
    </w:tbl>
    <w:p w14:paraId="0F174F9F" w14:textId="77777777" w:rsidR="00834E21" w:rsidRDefault="00000000">
      <w:pPr>
        <w:pStyle w:val="Heading2"/>
        <w:spacing w:after="120"/>
      </w:pPr>
      <w:r>
        <w:t>References</w:t>
      </w:r>
    </w:p>
    <w:p w14:paraId="0C5642B5" w14:textId="77777777" w:rsidR="00834E21" w:rsidRDefault="00000000">
      <w:pPr>
        <w:spacing w:before="60" w:after="60" w:line="320" w:lineRule="auto"/>
        <w:ind w:left="720" w:hanging="720"/>
        <w:jc w:val="both"/>
      </w:pPr>
      <w:r>
        <w:rPr>
          <w:sz w:val="22"/>
          <w:szCs w:val="22"/>
        </w:rPr>
        <w:t>Cosentino, A. B., Weese, W. J., &amp; Wells, J. E. (2021). Strategies to advance women: Career insights from senior leadership women in professional sport in Canada. Frontiers in Sports and Active Living, 3. https://doi.org/10.3389/fspor.2021.716505</w:t>
      </w:r>
    </w:p>
    <w:p w14:paraId="6449D937" w14:textId="77777777" w:rsidR="00834E21" w:rsidRDefault="00000000">
      <w:pPr>
        <w:spacing w:before="60" w:after="60" w:line="320" w:lineRule="auto"/>
        <w:ind w:left="720" w:hanging="720"/>
        <w:jc w:val="both"/>
      </w:pPr>
      <w:r>
        <w:rPr>
          <w:sz w:val="22"/>
          <w:szCs w:val="22"/>
        </w:rPr>
        <w:t>Graff, J. (2012). Is the grass greener on the other side? Experiential learning, lifelong learning and career shift. On the Horizon, 20(1), 74-83. https://doi.org/10.1108/10748121211202099</w:t>
      </w:r>
    </w:p>
    <w:p w14:paraId="001F0D6B" w14:textId="77777777" w:rsidR="00834E21" w:rsidRDefault="00000000">
      <w:pPr>
        <w:spacing w:before="60" w:after="60" w:line="320" w:lineRule="auto"/>
        <w:ind w:left="720" w:hanging="720"/>
        <w:jc w:val="both"/>
      </w:pPr>
      <w:r>
        <w:rPr>
          <w:sz w:val="22"/>
          <w:szCs w:val="22"/>
        </w:rPr>
        <w:t>Jacobson, J. (2020). You are a brand: Social media managers' personal branding and "the future audience." Journal of Product and Brand Management, 29(6), 715-727. https://doi.org/10.1108/jpbm-03-2019-2299</w:t>
      </w:r>
    </w:p>
    <w:p w14:paraId="42526DB4" w14:textId="77777777" w:rsidR="00834E21" w:rsidRDefault="00000000">
      <w:pPr>
        <w:spacing w:before="60" w:after="60" w:line="320" w:lineRule="auto"/>
        <w:ind w:left="720" w:hanging="720"/>
        <w:jc w:val="both"/>
      </w:pPr>
      <w:r>
        <w:rPr>
          <w:sz w:val="22"/>
          <w:szCs w:val="22"/>
        </w:rPr>
        <w:t>McNiff, J., Fried, G., &amp; Mahoney, K. (2014). Learning sport management. Human Kinetics. https://doi.org/10.4135/9781526434203</w:t>
      </w:r>
    </w:p>
    <w:p w14:paraId="6F477632" w14:textId="77777777" w:rsidR="00834E21" w:rsidRDefault="00000000">
      <w:pPr>
        <w:spacing w:before="60" w:after="60" w:line="320" w:lineRule="auto"/>
        <w:ind w:left="720" w:hanging="720"/>
        <w:jc w:val="both"/>
      </w:pPr>
      <w:r>
        <w:rPr>
          <w:sz w:val="22"/>
          <w:szCs w:val="22"/>
        </w:rPr>
        <w:lastRenderedPageBreak/>
        <w:t>Odio, M. A., &amp; Menaker, B. E. (2023). Rethinking the sport management internship. Sports Innovation Journal, 4(SI), 152-162. https://doi.org/10.18060/27358</w:t>
      </w:r>
    </w:p>
    <w:p w14:paraId="238E424B" w14:textId="77777777" w:rsidR="00834E21" w:rsidRDefault="00000000">
      <w:pPr>
        <w:spacing w:before="60" w:after="60" w:line="320" w:lineRule="auto"/>
        <w:ind w:left="720" w:hanging="720"/>
        <w:jc w:val="both"/>
      </w:pPr>
      <w:r>
        <w:rPr>
          <w:sz w:val="22"/>
          <w:szCs w:val="22"/>
        </w:rPr>
        <w:t>Olsen, K., &amp; LaGree, D. (2023). Taking action in the first five years to increase career equality: The impact of professional relationships on young women's advancement. Gender in Management, 38(7), 925-941. https://doi.org/10.1108/gm-02-2022-0058</w:t>
      </w:r>
    </w:p>
    <w:p w14:paraId="239200E7" w14:textId="77777777" w:rsidR="00834E21" w:rsidRDefault="00000000">
      <w:pPr>
        <w:spacing w:before="60" w:after="60" w:line="320" w:lineRule="auto"/>
        <w:ind w:left="720" w:hanging="720"/>
        <w:jc w:val="both"/>
      </w:pPr>
      <w:r>
        <w:rPr>
          <w:sz w:val="22"/>
          <w:szCs w:val="22"/>
        </w:rPr>
        <w:t>Park, J., Williams, A. S., &amp; Son, S. (2020). Social media as a personal branding tool: A qualitative study of student-athletes' perceptions and behaviors. Journal of Athlete Development and Experience, 2(1). https://doi.org/10.25035/jade.02.01.04</w:t>
      </w:r>
    </w:p>
    <w:p w14:paraId="33396699" w14:textId="77777777" w:rsidR="00834E21" w:rsidRDefault="00000000">
      <w:pPr>
        <w:spacing w:before="60" w:after="60" w:line="320" w:lineRule="auto"/>
        <w:ind w:left="720" w:hanging="720"/>
        <w:jc w:val="both"/>
      </w:pPr>
      <w:r>
        <w:rPr>
          <w:sz w:val="22"/>
          <w:szCs w:val="22"/>
        </w:rPr>
        <w:t>Perry, J., Anderson, A. J., &amp; Ohrberg, N. J. (2022). The digital paradigm shift: Challenges faced by HBCU sport management programs in light of modernization. Journal of Education and Recreation Patterns, 3(1), 25-35. https://doi.org/10.53016/jerp.v3i1.42</w:t>
      </w:r>
    </w:p>
    <w:p w14:paraId="3C21DCC4" w14:textId="77777777" w:rsidR="00834E21" w:rsidRDefault="00000000">
      <w:pPr>
        <w:spacing w:before="60" w:after="60" w:line="320" w:lineRule="auto"/>
        <w:ind w:left="720" w:hanging="720"/>
        <w:jc w:val="both"/>
      </w:pPr>
      <w:r>
        <w:rPr>
          <w:sz w:val="22"/>
          <w:szCs w:val="22"/>
        </w:rPr>
        <w:t xml:space="preserve">Smolarek, M., &amp; </w:t>
      </w:r>
      <w:proofErr w:type="spellStart"/>
      <w:r>
        <w:rPr>
          <w:sz w:val="22"/>
          <w:szCs w:val="22"/>
        </w:rPr>
        <w:t>Dziendziora</w:t>
      </w:r>
      <w:proofErr w:type="spellEnd"/>
      <w:r>
        <w:rPr>
          <w:sz w:val="22"/>
          <w:szCs w:val="22"/>
        </w:rPr>
        <w:t>, J. (2022). Impact of personal branding on the development of professional careers of managers. European Research Studies Journal, 25(1), 133-147. https://doi.org/10.35808/ersj/2833</w:t>
      </w:r>
    </w:p>
    <w:p w14:paraId="7A1F153B" w14:textId="77777777" w:rsidR="00834E21" w:rsidRDefault="00000000">
      <w:pPr>
        <w:spacing w:before="60" w:after="60" w:line="320" w:lineRule="auto"/>
        <w:ind w:left="720" w:hanging="720"/>
        <w:jc w:val="both"/>
      </w:pPr>
      <w:r>
        <w:rPr>
          <w:sz w:val="22"/>
          <w:szCs w:val="22"/>
        </w:rPr>
        <w:t>Tiessen, R., Grantham, K., &amp; Cameron, J. (2019). The relationship between experiential learning and career outcomes for alumni of international development studies programs in Canada. Canadian Journal of Higher Education, 48(3), 23-42. https://doi.org/10.7202/1057127ar</w:t>
      </w:r>
    </w:p>
    <w:p w14:paraId="157E63F5" w14:textId="77777777" w:rsidR="00834E21" w:rsidRDefault="00000000">
      <w:r>
        <w:br w:type="page"/>
      </w:r>
    </w:p>
    <w:p w14:paraId="2CCD7AA8" w14:textId="77777777" w:rsidR="00834E21" w:rsidRDefault="00000000">
      <w:pPr>
        <w:pStyle w:val="Heading1"/>
        <w:spacing w:after="120"/>
      </w:pPr>
      <w:r>
        <w:lastRenderedPageBreak/>
        <w:t>Appendix A: Sample Internship Learning Contract</w:t>
      </w:r>
    </w:p>
    <w:p w14:paraId="61E751E6" w14:textId="77777777" w:rsidR="00834E21" w:rsidRDefault="00000000">
      <w:pPr>
        <w:spacing w:after="140"/>
        <w:jc w:val="both"/>
      </w:pPr>
      <w:r>
        <w:rPr>
          <w:i/>
          <w:iCs/>
          <w:sz w:val="22"/>
          <w:szCs w:val="22"/>
        </w:rPr>
        <w:t>The following template provides a framework for establishing a formal learning agreement between a sport management graduate student, their academic program, and their applied learning site supervisor. It should be customized to reflect the specific context, learning objectives, and evaluation criteria appropriate to each placement.</w:t>
      </w:r>
    </w:p>
    <w:p w14:paraId="023DE0B7" w14:textId="77777777" w:rsidR="00834E21" w:rsidRDefault="00000000">
      <w:pPr>
        <w:pStyle w:val="Heading2"/>
        <w:spacing w:after="120"/>
      </w:pPr>
      <w:r>
        <w:t>Student Information</w:t>
      </w:r>
    </w:p>
    <w:p w14:paraId="1AE27F22" w14:textId="77777777" w:rsidR="00834E21" w:rsidRDefault="00000000">
      <w:pPr>
        <w:spacing w:after="160" w:line="360" w:lineRule="auto"/>
        <w:ind w:firstLine="720"/>
        <w:jc w:val="both"/>
      </w:pPr>
      <w:r>
        <w:t>Student Name: ____________________________________________</w:t>
      </w:r>
    </w:p>
    <w:p w14:paraId="7E340D19" w14:textId="77777777" w:rsidR="00834E21" w:rsidRDefault="00000000">
      <w:pPr>
        <w:spacing w:after="160" w:line="360" w:lineRule="auto"/>
        <w:ind w:firstLine="720"/>
        <w:jc w:val="both"/>
      </w:pPr>
      <w:r>
        <w:t>Program and Year: ____________________________________________</w:t>
      </w:r>
    </w:p>
    <w:p w14:paraId="2DE76F72" w14:textId="77777777" w:rsidR="00834E21" w:rsidRDefault="00000000">
      <w:pPr>
        <w:spacing w:after="160" w:line="360" w:lineRule="auto"/>
        <w:ind w:firstLine="720"/>
        <w:jc w:val="both"/>
      </w:pPr>
      <w:r>
        <w:t>Applied Learning Site: ____________________________________________</w:t>
      </w:r>
    </w:p>
    <w:p w14:paraId="22AB2987" w14:textId="77777777" w:rsidR="00834E21" w:rsidRDefault="00000000">
      <w:pPr>
        <w:spacing w:after="160" w:line="360" w:lineRule="auto"/>
        <w:ind w:firstLine="720"/>
        <w:jc w:val="both"/>
      </w:pPr>
      <w:r>
        <w:t>Site Supervisor Name and Title: ____________________________________________</w:t>
      </w:r>
    </w:p>
    <w:p w14:paraId="1B64F3F7" w14:textId="77777777" w:rsidR="00834E21" w:rsidRDefault="00000000">
      <w:pPr>
        <w:spacing w:after="160" w:line="360" w:lineRule="auto"/>
        <w:ind w:firstLine="720"/>
        <w:jc w:val="both"/>
      </w:pPr>
      <w:r>
        <w:t>Faculty Supervisor: ____________________________________________</w:t>
      </w:r>
    </w:p>
    <w:p w14:paraId="0AF00EFE" w14:textId="77777777" w:rsidR="00834E21" w:rsidRDefault="00000000">
      <w:pPr>
        <w:spacing w:after="160" w:line="360" w:lineRule="auto"/>
        <w:ind w:firstLine="720"/>
        <w:jc w:val="both"/>
      </w:pPr>
      <w:r>
        <w:t>Placement Dates: ____________________________________________</w:t>
      </w:r>
    </w:p>
    <w:p w14:paraId="4B63CCB3" w14:textId="4EB0D89A" w:rsidR="00D5035A" w:rsidRDefault="00000000" w:rsidP="00D5035A">
      <w:pPr>
        <w:spacing w:after="160" w:line="360" w:lineRule="auto"/>
        <w:ind w:firstLine="720"/>
        <w:jc w:val="both"/>
      </w:pPr>
      <w:r>
        <w:t>Hours Per Week: ____________________________________________</w:t>
      </w:r>
    </w:p>
    <w:p w14:paraId="02901B6C" w14:textId="6B7D9256" w:rsidR="00834E21" w:rsidRDefault="00000000">
      <w:pPr>
        <w:pStyle w:val="Heading2"/>
        <w:spacing w:after="120"/>
      </w:pPr>
      <w:r>
        <w:t>Applied Learning Activities</w:t>
      </w:r>
    </w:p>
    <w:p w14:paraId="6D78BEAC" w14:textId="77777777" w:rsidR="00834E21" w:rsidRDefault="00000000">
      <w:pPr>
        <w:spacing w:after="160" w:line="360" w:lineRule="auto"/>
        <w:ind w:firstLine="720"/>
        <w:jc w:val="both"/>
      </w:pPr>
      <w:r>
        <w:t>Describe the specific activities, projects, and responsibilities through which the student will pursue each learning objective. Activities should be substantive and should engage the student in meaningful professional work, not merely observational or administrative tasks.</w:t>
      </w:r>
    </w:p>
    <w:p w14:paraId="03658F89" w14:textId="77777777" w:rsidR="00834E21" w:rsidRDefault="00000000">
      <w:pPr>
        <w:pStyle w:val="Heading2"/>
        <w:spacing w:after="120"/>
      </w:pPr>
      <w:r>
        <w:t>Evaluation and Portfolio Evidence</w:t>
      </w:r>
    </w:p>
    <w:p w14:paraId="6A40258D" w14:textId="379E5A89" w:rsidR="00834E21" w:rsidRDefault="00000000">
      <w:pPr>
        <w:spacing w:after="160" w:line="360" w:lineRule="auto"/>
        <w:ind w:firstLine="720"/>
        <w:jc w:val="both"/>
      </w:pPr>
      <w:r>
        <w:t>The student agrees to maintain a structured reflection journal throughout the placement, produce a</w:t>
      </w:r>
      <w:r w:rsidR="00D5035A">
        <w:t>t</w:t>
      </w:r>
      <w:r>
        <w:t xml:space="preserve"> </w:t>
      </w:r>
      <w:r w:rsidR="00D5035A">
        <w:t>least</w:t>
      </w:r>
      <w:r>
        <w:t xml:space="preserve"> two portfolio artifacts documenting applied learning, and participate in a post-placement debriefing session with the faculty supervisor.</w:t>
      </w:r>
    </w:p>
    <w:p w14:paraId="21B3B8E7" w14:textId="77777777" w:rsidR="00D5035A" w:rsidRDefault="00D5035A">
      <w:pPr>
        <w:pStyle w:val="Heading1"/>
        <w:spacing w:after="120"/>
      </w:pPr>
    </w:p>
    <w:p w14:paraId="6F6B0C2B" w14:textId="77777777" w:rsidR="00D5035A" w:rsidRDefault="00D5035A">
      <w:pPr>
        <w:pStyle w:val="Heading1"/>
        <w:spacing w:after="120"/>
      </w:pPr>
    </w:p>
    <w:p w14:paraId="4B18E754" w14:textId="77777777" w:rsidR="00D5035A" w:rsidRDefault="00D5035A">
      <w:pPr>
        <w:pStyle w:val="Heading1"/>
        <w:spacing w:after="120"/>
      </w:pPr>
    </w:p>
    <w:p w14:paraId="26FEAA7C" w14:textId="78BECF05" w:rsidR="00834E21" w:rsidRDefault="00000000">
      <w:pPr>
        <w:pStyle w:val="Heading1"/>
        <w:spacing w:after="120"/>
      </w:pPr>
      <w:r>
        <w:lastRenderedPageBreak/>
        <w:t>Appendix B: Reflection Journal Templates</w:t>
      </w:r>
    </w:p>
    <w:p w14:paraId="12DF0E92" w14:textId="77777777" w:rsidR="00834E21" w:rsidRDefault="00000000">
      <w:pPr>
        <w:spacing w:after="140"/>
        <w:jc w:val="both"/>
      </w:pPr>
      <w:r>
        <w:rPr>
          <w:i/>
          <w:iCs/>
          <w:sz w:val="22"/>
          <w:szCs w:val="22"/>
        </w:rPr>
        <w:t>The following templates provide structured frameworks for the reflection practices described throughout this textbook.</w:t>
      </w:r>
    </w:p>
    <w:p w14:paraId="123EC15F" w14:textId="77777777" w:rsidR="00834E21" w:rsidRDefault="00000000">
      <w:pPr>
        <w:pStyle w:val="Heading2"/>
        <w:spacing w:after="120"/>
      </w:pPr>
      <w:r>
        <w:t>Template 1: Kolb's Four-Stage Reflection</w:t>
      </w:r>
    </w:p>
    <w:p w14:paraId="0C8D142F" w14:textId="77777777" w:rsidR="00834E21" w:rsidRDefault="00000000" w:rsidP="00D5035A">
      <w:pPr>
        <w:spacing w:after="160" w:line="360" w:lineRule="auto"/>
        <w:jc w:val="both"/>
      </w:pPr>
      <w:r>
        <w:t>Date and Context of Experience: ____________________________________________</w:t>
      </w:r>
    </w:p>
    <w:p w14:paraId="1B4C0B2B" w14:textId="77777777" w:rsidR="00834E21" w:rsidRDefault="00000000" w:rsidP="00D5035A">
      <w:pPr>
        <w:spacing w:after="160" w:line="360" w:lineRule="auto"/>
        <w:jc w:val="both"/>
      </w:pPr>
      <w:r>
        <w:t>Concrete Experience (What happened? Describe specifically what you observed, did, or participated in.): ____________________________________________</w:t>
      </w:r>
    </w:p>
    <w:p w14:paraId="4F553E05" w14:textId="77777777" w:rsidR="00834E21" w:rsidRDefault="00000000" w:rsidP="00D5035A">
      <w:pPr>
        <w:spacing w:after="160" w:line="360" w:lineRule="auto"/>
        <w:jc w:val="both"/>
      </w:pPr>
      <w:r>
        <w:t>Reflective Observation (What did you notice? What reactions or questions arose? What surprised you?): ____________________________________________</w:t>
      </w:r>
    </w:p>
    <w:p w14:paraId="14393803" w14:textId="77777777" w:rsidR="00834E21" w:rsidRDefault="00000000" w:rsidP="00D5035A">
      <w:pPr>
        <w:spacing w:after="160" w:line="360" w:lineRule="auto"/>
        <w:jc w:val="both"/>
      </w:pPr>
      <w:r>
        <w:t>Abstract Conceptualization (What frameworks or theories from your coursework apply? What generalizations can you draw?): ____________________________________________</w:t>
      </w:r>
    </w:p>
    <w:p w14:paraId="722677AB" w14:textId="77777777" w:rsidR="00834E21" w:rsidRDefault="00000000" w:rsidP="00D5035A">
      <w:pPr>
        <w:spacing w:after="160" w:line="360" w:lineRule="auto"/>
        <w:jc w:val="both"/>
      </w:pPr>
      <w:r>
        <w:t>Active Experimentation (How will you apply what you learned in future professional contexts? What will you do differently?): ____________________________________________</w:t>
      </w:r>
    </w:p>
    <w:p w14:paraId="48C9DE3F" w14:textId="77777777" w:rsidR="00834E21" w:rsidRDefault="00000000">
      <w:pPr>
        <w:pStyle w:val="Heading2"/>
        <w:spacing w:after="120"/>
      </w:pPr>
      <w:r>
        <w:t>Template 2: What? So What? Now What?</w:t>
      </w:r>
    </w:p>
    <w:p w14:paraId="035FEBC9" w14:textId="77777777" w:rsidR="00834E21" w:rsidRDefault="00000000" w:rsidP="00D5035A">
      <w:pPr>
        <w:spacing w:after="160" w:line="360" w:lineRule="auto"/>
        <w:jc w:val="both"/>
      </w:pPr>
      <w:r>
        <w:t>What? (Describe the experience factually and specifically.): ____________________________________________</w:t>
      </w:r>
    </w:p>
    <w:p w14:paraId="11E529C8" w14:textId="77777777" w:rsidR="00834E21" w:rsidRDefault="00000000" w:rsidP="00D5035A">
      <w:pPr>
        <w:spacing w:after="160" w:line="360" w:lineRule="auto"/>
        <w:jc w:val="both"/>
      </w:pPr>
      <w:r>
        <w:t>So What? (Why does this matter? What are the implications for your professional development?): ____________________________________________</w:t>
      </w:r>
    </w:p>
    <w:p w14:paraId="1F809422" w14:textId="77777777" w:rsidR="00834E21" w:rsidRDefault="00000000" w:rsidP="00D5035A">
      <w:pPr>
        <w:spacing w:after="160" w:line="360" w:lineRule="auto"/>
        <w:jc w:val="both"/>
      </w:pPr>
      <w:r>
        <w:t>Now What? (What specific actions or further learning does this experience call for?): ____________________________________________</w:t>
      </w:r>
    </w:p>
    <w:p w14:paraId="22BF91DA" w14:textId="77777777" w:rsidR="00834E21" w:rsidRDefault="00000000">
      <w:pPr>
        <w:pStyle w:val="Heading2"/>
        <w:spacing w:after="120"/>
      </w:pPr>
      <w:r>
        <w:t>Template 3: Professional Interaction Debrief</w:t>
      </w:r>
    </w:p>
    <w:p w14:paraId="2A4B2633" w14:textId="77777777" w:rsidR="00834E21" w:rsidRDefault="00000000" w:rsidP="00D5035A">
      <w:pPr>
        <w:spacing w:after="160" w:line="360" w:lineRule="auto"/>
        <w:jc w:val="both"/>
      </w:pPr>
      <w:r>
        <w:t>Context and Participants: ____________________________________________</w:t>
      </w:r>
    </w:p>
    <w:p w14:paraId="20052961" w14:textId="77777777" w:rsidR="00834E21" w:rsidRDefault="00000000" w:rsidP="00D5035A">
      <w:pPr>
        <w:spacing w:after="160" w:line="360" w:lineRule="auto"/>
        <w:jc w:val="both"/>
      </w:pPr>
      <w:r>
        <w:t xml:space="preserve">What was the purpose of the interaction and what were your goals going </w:t>
      </w:r>
      <w:proofErr w:type="gramStart"/>
      <w:r>
        <w:t>in?:</w:t>
      </w:r>
      <w:proofErr w:type="gramEnd"/>
      <w:r>
        <w:t xml:space="preserve"> ____________________________________________</w:t>
      </w:r>
    </w:p>
    <w:p w14:paraId="01112038" w14:textId="77777777" w:rsidR="00834E21" w:rsidRDefault="00000000" w:rsidP="00D5035A">
      <w:pPr>
        <w:spacing w:after="160" w:line="360" w:lineRule="auto"/>
        <w:jc w:val="both"/>
      </w:pPr>
      <w:r>
        <w:t xml:space="preserve">What communication strategies did you use? Which were effective and which were </w:t>
      </w:r>
      <w:proofErr w:type="gramStart"/>
      <w:r>
        <w:t>not?:</w:t>
      </w:r>
      <w:proofErr w:type="gramEnd"/>
      <w:r>
        <w:t xml:space="preserve"> ____________________________________________</w:t>
      </w:r>
    </w:p>
    <w:p w14:paraId="090DBDBE" w14:textId="77777777" w:rsidR="00834E21" w:rsidRDefault="00000000" w:rsidP="00D5035A">
      <w:pPr>
        <w:spacing w:after="160" w:line="360" w:lineRule="auto"/>
        <w:jc w:val="both"/>
      </w:pPr>
      <w:r>
        <w:lastRenderedPageBreak/>
        <w:t xml:space="preserve">What did you learn about the professional norms, values, or practices of the organizational </w:t>
      </w:r>
      <w:proofErr w:type="gramStart"/>
      <w:r>
        <w:t>context?:</w:t>
      </w:r>
      <w:proofErr w:type="gramEnd"/>
      <w:r>
        <w:t xml:space="preserve"> ____________________________________________</w:t>
      </w:r>
    </w:p>
    <w:p w14:paraId="6F34DABE" w14:textId="77777777" w:rsidR="00834E21" w:rsidRDefault="00000000" w:rsidP="00D5035A">
      <w:pPr>
        <w:spacing w:after="160" w:line="360" w:lineRule="auto"/>
        <w:jc w:val="both"/>
      </w:pPr>
      <w:r>
        <w:t xml:space="preserve">What would you do differently in a similar </w:t>
      </w:r>
      <w:proofErr w:type="gramStart"/>
      <w:r>
        <w:t>interaction?:</w:t>
      </w:r>
      <w:proofErr w:type="gramEnd"/>
      <w:r>
        <w:t xml:space="preserve"> ____________________________________________</w:t>
      </w:r>
    </w:p>
    <w:p w14:paraId="59B8A39F" w14:textId="77777777" w:rsidR="00834E21" w:rsidRDefault="00000000">
      <w:r>
        <w:br w:type="page"/>
      </w:r>
    </w:p>
    <w:p w14:paraId="1B69DEE9" w14:textId="77777777" w:rsidR="00834E21" w:rsidRDefault="00000000">
      <w:pPr>
        <w:pStyle w:val="Heading1"/>
        <w:spacing w:after="120"/>
      </w:pPr>
      <w:r>
        <w:lastRenderedPageBreak/>
        <w:t>Appendix C: Professional Portfolio Checklist</w:t>
      </w:r>
    </w:p>
    <w:p w14:paraId="47994372" w14:textId="77777777" w:rsidR="00834E21" w:rsidRDefault="00000000">
      <w:pPr>
        <w:spacing w:after="140"/>
        <w:jc w:val="both"/>
      </w:pPr>
      <w:r>
        <w:rPr>
          <w:i/>
          <w:iCs/>
          <w:sz w:val="22"/>
          <w:szCs w:val="22"/>
        </w:rPr>
        <w:t>Use this checklist to assess the completeness and quality of your professional portfolio prior to submission or use in job applications.</w:t>
      </w:r>
    </w:p>
    <w:p w14:paraId="5DBD4C19" w14:textId="77777777" w:rsidR="00834E21" w:rsidRDefault="00000000">
      <w:pPr>
        <w:pStyle w:val="Heading2"/>
        <w:spacing w:after="120"/>
      </w:pPr>
      <w:r>
        <w:t>Required Portfolio Components</w:t>
      </w:r>
    </w:p>
    <w:p w14:paraId="49B219A1" w14:textId="1BCB6F27" w:rsidR="00834E21" w:rsidRDefault="00000000" w:rsidP="00D5035A">
      <w:pPr>
        <w:spacing w:after="160" w:line="360" w:lineRule="auto"/>
        <w:ind w:firstLine="720"/>
        <w:jc w:val="both"/>
      </w:pPr>
      <w:r>
        <w:t>Professional summary statement (one page maximum, communicating your professional identity, core competencies, and career aspirations)</w:t>
      </w:r>
      <w:r w:rsidR="00D5035A">
        <w:t xml:space="preserve">. </w:t>
      </w:r>
      <w:proofErr w:type="gramStart"/>
      <w:r>
        <w:t>Current</w:t>
      </w:r>
      <w:proofErr w:type="gramEnd"/>
      <w:r>
        <w:t xml:space="preserve"> resume (formatted per sport management professional standards, including quantitative evidence of impact wherever possible)</w:t>
      </w:r>
      <w:r w:rsidR="00D5035A">
        <w:t xml:space="preserve"> </w:t>
      </w:r>
      <w:r>
        <w:t>Leadership philosophy statement (final revised version)</w:t>
      </w:r>
      <w:r w:rsidR="00D5035A">
        <w:t xml:space="preserve">. </w:t>
      </w:r>
      <w:r>
        <w:t>Five-year career roadmap (final version from Chapter 10)</w:t>
      </w:r>
      <w:r w:rsidR="00D5035A">
        <w:t xml:space="preserve">. </w:t>
      </w:r>
      <w:r>
        <w:t>Curated applied learning artifacts (minimum two per major applied learning experience, each with a written reflection connecting the artifact to learning objectives)</w:t>
      </w:r>
      <w:r w:rsidR="00D5035A">
        <w:t xml:space="preserve">. </w:t>
      </w:r>
      <w:r>
        <w:t>Evidence of NACE competency development across all eight competency domains</w:t>
      </w:r>
      <w:r w:rsidR="00D5035A">
        <w:t xml:space="preserve">. </w:t>
      </w:r>
      <w:r>
        <w:t>Capstone reflective narrative (1,000 to 1,500 words synthesizing learning across the program)</w:t>
      </w:r>
    </w:p>
    <w:p w14:paraId="508E1FBC" w14:textId="77777777" w:rsidR="00834E21" w:rsidRDefault="00000000">
      <w:pPr>
        <w:pStyle w:val="Heading2"/>
        <w:spacing w:after="120"/>
      </w:pPr>
      <w:r>
        <w:t>Portfolio Quality Standards</w:t>
      </w:r>
    </w:p>
    <w:p w14:paraId="77645EDD" w14:textId="77777777" w:rsidR="00834E21" w:rsidRDefault="00000000">
      <w:pPr>
        <w:spacing w:after="160" w:line="360" w:lineRule="auto"/>
        <w:ind w:firstLine="720"/>
        <w:jc w:val="both"/>
      </w:pPr>
      <w:r>
        <w:t>All written components use APA 7th edition citation format where applicable. All documents are free of grammatical and spelling errors. Each artifact is accompanied by a written reflection connecting it to course content and professional competencies. The portfolio as a whole presents a coherent professional narrative that a prospective employer can read as a coherent story of development and aspiration.</w:t>
      </w:r>
    </w:p>
    <w:p w14:paraId="469C1163" w14:textId="3D73AAE6" w:rsidR="00834E21" w:rsidRDefault="00000000" w:rsidP="00D5035A">
      <w:r>
        <w:br w:type="page"/>
      </w:r>
    </w:p>
    <w:p w14:paraId="12F55BEB" w14:textId="7697C057" w:rsidR="00834E21" w:rsidRDefault="00000000" w:rsidP="00D5035A">
      <w:r>
        <w:lastRenderedPageBreak/>
        <w:br w:type="page"/>
      </w:r>
      <w:r>
        <w:rPr>
          <w:b/>
          <w:bCs/>
        </w:rPr>
        <w:lastRenderedPageBreak/>
        <w:t>Reference List</w:t>
      </w:r>
    </w:p>
    <w:p w14:paraId="69D3F786" w14:textId="77777777" w:rsidR="00834E21" w:rsidRDefault="00000000">
      <w:pPr>
        <w:spacing w:after="140"/>
        <w:jc w:val="both"/>
      </w:pPr>
      <w:r>
        <w:rPr>
          <w:i/>
          <w:iCs/>
          <w:sz w:val="22"/>
          <w:szCs w:val="22"/>
        </w:rPr>
        <w:t>The following consolidated reference list includes all sources cited across the ten chapters of this textbook, formatted in accordance with the Publication Manual of the American Psychological Association, Seventh Edition.</w:t>
      </w:r>
    </w:p>
    <w:p w14:paraId="03CBAF84" w14:textId="77777777" w:rsidR="00834E21" w:rsidRDefault="00834E21"/>
    <w:p w14:paraId="38191AA5" w14:textId="77777777" w:rsidR="00834E21" w:rsidRDefault="00000000">
      <w:pPr>
        <w:spacing w:before="60" w:after="60" w:line="320" w:lineRule="auto"/>
        <w:ind w:left="720" w:hanging="720"/>
        <w:jc w:val="both"/>
      </w:pPr>
      <w:r>
        <w:rPr>
          <w:sz w:val="22"/>
          <w:szCs w:val="22"/>
        </w:rPr>
        <w:t>Abdul Shukor, S., &amp; Mohamad Nor, N. S. (2024). The impact of experiential learning on student perceptions of a career in sales. EPIBAF Proceedings, 11(1), 205-209. https://doi.org/10.33102/sprepg18</w:t>
      </w:r>
    </w:p>
    <w:p w14:paraId="361FEE8E" w14:textId="77777777" w:rsidR="00834E21" w:rsidRDefault="00000000">
      <w:pPr>
        <w:spacing w:before="60" w:after="60" w:line="320" w:lineRule="auto"/>
        <w:ind w:left="720" w:hanging="720"/>
        <w:jc w:val="both"/>
      </w:pPr>
      <w:r>
        <w:rPr>
          <w:sz w:val="22"/>
          <w:szCs w:val="22"/>
        </w:rPr>
        <w:t>Andersen, J. A. (2018). Servant leadership and transformational leadership: From comparisons to farewells. Leadership and Organization Development Journal, 39(6), 762-774. https://doi.org/10.1108/lodj-01-2018-0053</w:t>
      </w:r>
    </w:p>
    <w:p w14:paraId="020F836C" w14:textId="77777777" w:rsidR="00834E21" w:rsidRDefault="00000000">
      <w:pPr>
        <w:spacing w:before="60" w:after="60" w:line="320" w:lineRule="auto"/>
        <w:ind w:left="720" w:hanging="720"/>
        <w:jc w:val="both"/>
      </w:pPr>
      <w:r>
        <w:rPr>
          <w:sz w:val="22"/>
          <w:szCs w:val="22"/>
        </w:rPr>
        <w:t>Baker, M. A., &amp; Robinson, S. (2012). Aligning Kolb's experiential learning theory with a comprehensive agricultural education model. Journal of Agricultural Education, 53(4), 1-16. https://doi.org/10.5032/jae.2012.04001</w:t>
      </w:r>
    </w:p>
    <w:p w14:paraId="283184CD" w14:textId="77777777" w:rsidR="00834E21" w:rsidRDefault="00000000">
      <w:pPr>
        <w:spacing w:before="60" w:after="60" w:line="320" w:lineRule="auto"/>
        <w:ind w:left="720" w:hanging="720"/>
        <w:jc w:val="both"/>
      </w:pPr>
      <w:r>
        <w:rPr>
          <w:sz w:val="22"/>
          <w:szCs w:val="22"/>
        </w:rPr>
        <w:t>Barnhill, C. R., Smith, N., &amp; Oja, B. D. (2021). Leadership in sport organizations. In C. R. Barnhill et al. (Eds.), Applied sport management skills (pp. 201-220). Springer. https://doi.org/10.1007/978-3-030-67612-4_18</w:t>
      </w:r>
    </w:p>
    <w:p w14:paraId="0EC079A8" w14:textId="77777777" w:rsidR="00834E21" w:rsidRDefault="00000000">
      <w:pPr>
        <w:spacing w:before="60" w:after="60" w:line="320" w:lineRule="auto"/>
        <w:ind w:left="720" w:hanging="720"/>
        <w:jc w:val="both"/>
      </w:pPr>
      <w:r>
        <w:rPr>
          <w:sz w:val="22"/>
          <w:szCs w:val="22"/>
        </w:rPr>
        <w:t>Bower, G. G. (2017). Effective mentoring relationships with women in sport: Results of a meta-ethnography. Advancing Women in Leadership Journal, 29. https://doi.org/10.21423/awlj-v29.a268</w:t>
      </w:r>
    </w:p>
    <w:p w14:paraId="0907C999" w14:textId="77777777" w:rsidR="00834E21" w:rsidRDefault="00000000">
      <w:pPr>
        <w:spacing w:before="60" w:after="60" w:line="320" w:lineRule="auto"/>
        <w:ind w:left="720" w:hanging="720"/>
        <w:jc w:val="both"/>
      </w:pPr>
      <w:proofErr w:type="spellStart"/>
      <w:r>
        <w:rPr>
          <w:sz w:val="22"/>
          <w:szCs w:val="22"/>
        </w:rPr>
        <w:t>Charitonidi</w:t>
      </w:r>
      <w:proofErr w:type="spellEnd"/>
      <w:r>
        <w:rPr>
          <w:sz w:val="22"/>
          <w:szCs w:val="22"/>
        </w:rPr>
        <w:t xml:space="preserve">, I., &amp; </w:t>
      </w:r>
      <w:proofErr w:type="spellStart"/>
      <w:r>
        <w:rPr>
          <w:sz w:val="22"/>
          <w:szCs w:val="22"/>
        </w:rPr>
        <w:t>Kaburakis</w:t>
      </w:r>
      <w:proofErr w:type="spellEnd"/>
      <w:r>
        <w:rPr>
          <w:sz w:val="22"/>
          <w:szCs w:val="22"/>
        </w:rPr>
        <w:t>, A. (2022). The international student-athlete experience. Sports Innovation Journal, 3(SI), 95-109. https://doi.org/10.18060/26060</w:t>
      </w:r>
    </w:p>
    <w:p w14:paraId="0ACDA277" w14:textId="77777777" w:rsidR="00834E21" w:rsidRDefault="00000000">
      <w:pPr>
        <w:spacing w:before="60" w:after="60" w:line="320" w:lineRule="auto"/>
        <w:ind w:left="720" w:hanging="720"/>
        <w:jc w:val="both"/>
      </w:pPr>
      <w:r>
        <w:rPr>
          <w:sz w:val="22"/>
          <w:szCs w:val="22"/>
        </w:rPr>
        <w:t xml:space="preserve">Chen, Y., &amp; Gan, N. (2021). Sustainable development of employability of university students based on participation in the internship promotion </w:t>
      </w:r>
      <w:proofErr w:type="spellStart"/>
      <w:r>
        <w:rPr>
          <w:sz w:val="22"/>
          <w:szCs w:val="22"/>
        </w:rPr>
        <w:t>programme</w:t>
      </w:r>
      <w:proofErr w:type="spellEnd"/>
      <w:r>
        <w:rPr>
          <w:sz w:val="22"/>
          <w:szCs w:val="22"/>
        </w:rPr>
        <w:t xml:space="preserve"> of Zhejiang Province. Sustainability, 13(23), 13454. https://doi.org/10.3390/su132313454</w:t>
      </w:r>
    </w:p>
    <w:p w14:paraId="0DDE6555" w14:textId="77777777" w:rsidR="00834E21" w:rsidRDefault="00000000">
      <w:pPr>
        <w:spacing w:before="60" w:after="60" w:line="320" w:lineRule="auto"/>
        <w:ind w:left="720" w:hanging="720"/>
        <w:jc w:val="both"/>
      </w:pPr>
      <w:proofErr w:type="spellStart"/>
      <w:r>
        <w:rPr>
          <w:sz w:val="22"/>
          <w:szCs w:val="22"/>
        </w:rPr>
        <w:t>Clinciu</w:t>
      </w:r>
      <w:proofErr w:type="spellEnd"/>
      <w:r>
        <w:rPr>
          <w:sz w:val="22"/>
          <w:szCs w:val="22"/>
        </w:rPr>
        <w:t>, R. (2023). Application of the experiential learning theory in engineering education. RECENT, 24(3), 264-268. https://doi.org/10.31926/recent.2023.71.264</w:t>
      </w:r>
    </w:p>
    <w:p w14:paraId="27E226E7" w14:textId="77777777" w:rsidR="00834E21" w:rsidRDefault="00000000">
      <w:pPr>
        <w:spacing w:before="60" w:after="60" w:line="320" w:lineRule="auto"/>
        <w:ind w:left="720" w:hanging="720"/>
        <w:jc w:val="both"/>
      </w:pPr>
      <w:r>
        <w:rPr>
          <w:sz w:val="22"/>
          <w:szCs w:val="22"/>
        </w:rPr>
        <w:t>Cosentino, A. B., Weese, W. J., &amp; Wells, J. E. (2021). Strategies to advance women: Career insights from senior leadership women in professional sport in Canada. Frontiers in Sports and Active Living, 3. https://doi.org/10.3389/fspor.2021.716505</w:t>
      </w:r>
    </w:p>
    <w:p w14:paraId="29FB2829" w14:textId="77777777" w:rsidR="00834E21" w:rsidRDefault="00000000">
      <w:pPr>
        <w:spacing w:before="60" w:after="60" w:line="320" w:lineRule="auto"/>
        <w:ind w:left="720" w:hanging="720"/>
        <w:jc w:val="both"/>
      </w:pPr>
      <w:r>
        <w:rPr>
          <w:sz w:val="22"/>
          <w:szCs w:val="22"/>
        </w:rPr>
        <w:t>Dato, R. B. (2024). How internships influenced professional development? Hotel and restaurant management graduate perspectives. International Journal of Social Science and Human Research, 7(5). https://doi.org/10.47191/ijsshr/v7-i05-112</w:t>
      </w:r>
    </w:p>
    <w:p w14:paraId="2340883C" w14:textId="77777777" w:rsidR="00834E21" w:rsidRDefault="00000000">
      <w:pPr>
        <w:spacing w:before="60" w:after="60" w:line="320" w:lineRule="auto"/>
        <w:ind w:left="720" w:hanging="720"/>
        <w:jc w:val="both"/>
      </w:pPr>
      <w:r>
        <w:rPr>
          <w:sz w:val="22"/>
          <w:szCs w:val="22"/>
        </w:rPr>
        <w:t xml:space="preserve">Fuller, R. D., Evanovich, J. M., &amp; Bruening, J. E. (2015). The impact of a sport-based </w:t>
      </w:r>
      <w:proofErr w:type="gramStart"/>
      <w:r>
        <w:rPr>
          <w:sz w:val="22"/>
          <w:szCs w:val="22"/>
        </w:rPr>
        <w:t>service learning</w:t>
      </w:r>
      <w:proofErr w:type="gramEnd"/>
      <w:r>
        <w:rPr>
          <w:sz w:val="22"/>
          <w:szCs w:val="22"/>
        </w:rPr>
        <w:t xml:space="preserve"> course on participants' attitudes, intentions and actions toward social change. Journal of Intercollegiate Sport, 8(1), 14-36. https://doi.org/10.1123/jis.2014-0127</w:t>
      </w:r>
    </w:p>
    <w:p w14:paraId="7DB72961" w14:textId="77777777" w:rsidR="00834E21" w:rsidRDefault="00000000">
      <w:pPr>
        <w:spacing w:before="60" w:after="60" w:line="320" w:lineRule="auto"/>
        <w:ind w:left="720" w:hanging="720"/>
        <w:jc w:val="both"/>
      </w:pPr>
      <w:r>
        <w:rPr>
          <w:sz w:val="22"/>
          <w:szCs w:val="22"/>
        </w:rPr>
        <w:lastRenderedPageBreak/>
        <w:t>Graff, J. (2012). Is the grass greener on the other side? Experiential learning, lifelong learning and career shift. On the Horizon, 20(1), 74-83. https://doi.org/10.1108/10748121211202099</w:t>
      </w:r>
    </w:p>
    <w:p w14:paraId="76BB684B" w14:textId="77777777" w:rsidR="00834E21" w:rsidRDefault="00000000">
      <w:pPr>
        <w:spacing w:before="60" w:after="60" w:line="320" w:lineRule="auto"/>
        <w:ind w:left="720" w:hanging="720"/>
        <w:jc w:val="both"/>
      </w:pPr>
      <w:proofErr w:type="spellStart"/>
      <w:r>
        <w:rPr>
          <w:sz w:val="22"/>
          <w:szCs w:val="22"/>
        </w:rPr>
        <w:t>Hawzen</w:t>
      </w:r>
      <w:proofErr w:type="spellEnd"/>
      <w:r>
        <w:rPr>
          <w:sz w:val="22"/>
          <w:szCs w:val="22"/>
        </w:rPr>
        <w:t>, M. G., McLeod, C. M., &amp; Holden, J. T. (2018). Cruel optimism in sport management: Fans, affective labor, and the political economy of internships in the sport industry. Journal of Sport and Social Issues, 42(3), 184-204. https://doi.org/10.1177/0193723518758457</w:t>
      </w:r>
    </w:p>
    <w:p w14:paraId="0E9D0168" w14:textId="77777777" w:rsidR="00834E21" w:rsidRDefault="00000000">
      <w:pPr>
        <w:spacing w:before="60" w:after="60" w:line="320" w:lineRule="auto"/>
        <w:ind w:left="720" w:hanging="720"/>
        <w:jc w:val="both"/>
      </w:pPr>
      <w:r>
        <w:rPr>
          <w:sz w:val="22"/>
          <w:szCs w:val="22"/>
        </w:rPr>
        <w:t>Hayden, S. C. W., &amp; Osborn, D. S. (2020). Using experiential learning theory to train career practitioners. Journal of Employment Counseling, 57(1), 2-13. https://doi.org/10.1002/joec.12134</w:t>
      </w:r>
    </w:p>
    <w:p w14:paraId="384BA582" w14:textId="77777777" w:rsidR="00834E21" w:rsidRDefault="00000000">
      <w:pPr>
        <w:spacing w:before="60" w:after="60" w:line="320" w:lineRule="auto"/>
        <w:ind w:left="720" w:hanging="720"/>
        <w:jc w:val="both"/>
      </w:pPr>
      <w:r>
        <w:rPr>
          <w:sz w:val="22"/>
          <w:szCs w:val="22"/>
        </w:rPr>
        <w:t>Jacobson, J. (2020). You are a brand: Social media managers' personal branding and "the future audience." Journal of Product and Brand Management, 29(6), 715-727. https://doi.org/10.1108/jpbm-03-2019-2299</w:t>
      </w:r>
    </w:p>
    <w:p w14:paraId="491944F1" w14:textId="77777777" w:rsidR="00834E21" w:rsidRDefault="00000000">
      <w:pPr>
        <w:spacing w:before="60" w:after="60" w:line="320" w:lineRule="auto"/>
        <w:ind w:left="720" w:hanging="720"/>
        <w:jc w:val="both"/>
      </w:pPr>
      <w:r>
        <w:rPr>
          <w:sz w:val="22"/>
          <w:szCs w:val="22"/>
        </w:rPr>
        <w:t xml:space="preserve">Kapyla, J., &amp; </w:t>
      </w:r>
      <w:proofErr w:type="spellStart"/>
      <w:r>
        <w:rPr>
          <w:sz w:val="22"/>
          <w:szCs w:val="22"/>
        </w:rPr>
        <w:t>Palvalin</w:t>
      </w:r>
      <w:proofErr w:type="spellEnd"/>
      <w:r>
        <w:rPr>
          <w:sz w:val="22"/>
          <w:szCs w:val="22"/>
        </w:rPr>
        <w:t xml:space="preserve">, M. (2023). Experiential pedagogical model for teaching management and leadership in higher education. </w:t>
      </w:r>
      <w:proofErr w:type="spellStart"/>
      <w:r>
        <w:rPr>
          <w:sz w:val="22"/>
          <w:szCs w:val="22"/>
        </w:rPr>
        <w:t>InScience</w:t>
      </w:r>
      <w:proofErr w:type="spellEnd"/>
      <w:r>
        <w:rPr>
          <w:sz w:val="22"/>
          <w:szCs w:val="22"/>
        </w:rPr>
        <w:t xml:space="preserve"> Press. https://doi.org/10.36315/2023v2end128</w:t>
      </w:r>
    </w:p>
    <w:p w14:paraId="6976ADC9" w14:textId="77777777" w:rsidR="00834E21" w:rsidRDefault="00000000">
      <w:pPr>
        <w:spacing w:before="60" w:after="60" w:line="320" w:lineRule="auto"/>
        <w:ind w:left="720" w:hanging="720"/>
        <w:jc w:val="both"/>
      </w:pPr>
      <w:r>
        <w:rPr>
          <w:sz w:val="22"/>
          <w:szCs w:val="22"/>
        </w:rPr>
        <w:t>Kim, K. Y., &amp; Drayer, J. (2021). Better together? Examining the impact of official secondary ticketing partnerships on consumers' attitudes and behaviors. Sport Marketing Quarterly, 30(4), 278-288. https://doi.org/10.32731/smq.304.1221.03</w:t>
      </w:r>
    </w:p>
    <w:p w14:paraId="08F5E8DD" w14:textId="77777777" w:rsidR="00834E21" w:rsidRDefault="00000000">
      <w:pPr>
        <w:spacing w:before="60" w:after="60" w:line="320" w:lineRule="auto"/>
        <w:ind w:left="720" w:hanging="720"/>
        <w:jc w:val="both"/>
      </w:pPr>
      <w:r>
        <w:rPr>
          <w:sz w:val="22"/>
          <w:szCs w:val="22"/>
        </w:rPr>
        <w:t>Kim, M., Park, S., &amp; Kim, S. H. (2020). The perceived impact of hosting mega-sports events in a developing region: The case of the PyeongChang 2018 Winter Olympic Games. Current Issues in Tourism, 24(20), 2843-2848. https://doi.org/10.1080/13683500.2020.1850652</w:t>
      </w:r>
    </w:p>
    <w:p w14:paraId="5CF32EE4" w14:textId="77777777" w:rsidR="00834E21" w:rsidRDefault="00000000">
      <w:pPr>
        <w:spacing w:before="60" w:after="60" w:line="320" w:lineRule="auto"/>
        <w:ind w:left="720" w:hanging="720"/>
        <w:jc w:val="both"/>
      </w:pPr>
      <w:r>
        <w:rPr>
          <w:sz w:val="22"/>
          <w:szCs w:val="22"/>
        </w:rPr>
        <w:t>Lim, S., Min, B. H., &amp; Berlan, D. (2023). The nonprofit role in building community social capital. Nonprofit and Voluntary Sector Quarterly, 53(1), 210-235. https://doi.org/10.1177/08997640221146965</w:t>
      </w:r>
    </w:p>
    <w:p w14:paraId="785ABB0A" w14:textId="77777777" w:rsidR="00834E21" w:rsidRDefault="00000000">
      <w:pPr>
        <w:spacing w:before="60" w:after="60" w:line="320" w:lineRule="auto"/>
        <w:ind w:left="720" w:hanging="720"/>
        <w:jc w:val="both"/>
      </w:pPr>
      <w:r>
        <w:rPr>
          <w:sz w:val="22"/>
          <w:szCs w:val="22"/>
        </w:rPr>
        <w:t>McFadden, C. W., &amp; Stenta, D. A. (2015). Connecting collegiate recreation and athletics to leadership. New Directions for Student Leadership, 147, 5-18. https://doi.org/10.1002/yd.20139</w:t>
      </w:r>
    </w:p>
    <w:p w14:paraId="4BC66325" w14:textId="77777777" w:rsidR="00834E21" w:rsidRDefault="00000000">
      <w:pPr>
        <w:spacing w:before="60" w:after="60" w:line="320" w:lineRule="auto"/>
        <w:ind w:left="720" w:hanging="720"/>
        <w:jc w:val="both"/>
      </w:pPr>
      <w:r>
        <w:rPr>
          <w:sz w:val="22"/>
          <w:szCs w:val="22"/>
        </w:rPr>
        <w:t>McNiff, J., Fried, G., &amp; Mahoney, K. (2014). Learning sport management. Human Kinetics. https://doi.org/10.4135/9781526434203</w:t>
      </w:r>
    </w:p>
    <w:p w14:paraId="14D66DAB" w14:textId="77777777" w:rsidR="00834E21" w:rsidRDefault="00000000">
      <w:pPr>
        <w:spacing w:before="60" w:after="60" w:line="320" w:lineRule="auto"/>
        <w:ind w:left="720" w:hanging="720"/>
        <w:jc w:val="both"/>
      </w:pPr>
      <w:r>
        <w:rPr>
          <w:sz w:val="22"/>
          <w:szCs w:val="22"/>
        </w:rPr>
        <w:t>Mitchell, D., &amp; Buckingham, G. (2020). Transforming plans into community impact. Teaching Public Administration, 39(1), 9-25. https://doi.org/10.1177/0144739420929380</w:t>
      </w:r>
    </w:p>
    <w:p w14:paraId="0139E9D4" w14:textId="77777777" w:rsidR="00834E21" w:rsidRDefault="00000000">
      <w:pPr>
        <w:spacing w:before="60" w:after="60" w:line="320" w:lineRule="auto"/>
        <w:ind w:left="720" w:hanging="720"/>
        <w:jc w:val="both"/>
      </w:pPr>
      <w:r>
        <w:rPr>
          <w:sz w:val="22"/>
          <w:szCs w:val="22"/>
        </w:rPr>
        <w:t>Mujika, I., &amp; Leo, P. (2024). From mentorship to sponsorship in sport science. International Journal of Sports Physiology and Performance, 19(3), 221-222. https://doi.org/10.1123/ijspp.2023-0516</w:t>
      </w:r>
    </w:p>
    <w:p w14:paraId="25CC200A" w14:textId="77777777" w:rsidR="00834E21" w:rsidRDefault="00000000">
      <w:pPr>
        <w:spacing w:before="60" w:after="60" w:line="320" w:lineRule="auto"/>
        <w:ind w:left="720" w:hanging="720"/>
        <w:jc w:val="both"/>
      </w:pPr>
      <w:r>
        <w:rPr>
          <w:sz w:val="22"/>
          <w:szCs w:val="22"/>
        </w:rPr>
        <w:t>Newman, T. J., Alvarez, M. A. G., &amp; Kim, M. (2017). An experiential approach to sport for youth development. Journal of Experiential Education, 40(3), 308-322. https://doi.org/10.1177/1053825917696833</w:t>
      </w:r>
    </w:p>
    <w:p w14:paraId="22F5F80D" w14:textId="77777777" w:rsidR="00834E21" w:rsidRDefault="00000000">
      <w:pPr>
        <w:spacing w:before="60" w:after="60" w:line="320" w:lineRule="auto"/>
        <w:ind w:left="720" w:hanging="720"/>
        <w:jc w:val="both"/>
      </w:pPr>
      <w:r>
        <w:rPr>
          <w:sz w:val="22"/>
          <w:szCs w:val="22"/>
        </w:rPr>
        <w:t>Odio, M. A., &amp; Menaker, B. E. (2023). Rethinking the sport management internship. Sports Innovation Journal, 4(SI), 152-162. https://doi.org/10.18060/27358</w:t>
      </w:r>
    </w:p>
    <w:p w14:paraId="5139D696" w14:textId="77777777" w:rsidR="00834E21" w:rsidRDefault="00000000">
      <w:pPr>
        <w:spacing w:before="60" w:after="60" w:line="320" w:lineRule="auto"/>
        <w:ind w:left="720" w:hanging="720"/>
        <w:jc w:val="both"/>
      </w:pPr>
      <w:r>
        <w:rPr>
          <w:sz w:val="22"/>
          <w:szCs w:val="22"/>
        </w:rPr>
        <w:t>Olsen, K., &amp; LaGree, D. (2023). Taking action in the first five years to increase career equality. Gender in Management, 38(7), 925-941. https://doi.org/10.1108/gm-02-2022-0058</w:t>
      </w:r>
    </w:p>
    <w:p w14:paraId="32EA221B" w14:textId="77777777" w:rsidR="00834E21" w:rsidRDefault="00000000">
      <w:pPr>
        <w:spacing w:before="60" w:after="60" w:line="320" w:lineRule="auto"/>
        <w:ind w:left="720" w:hanging="720"/>
        <w:jc w:val="both"/>
      </w:pPr>
      <w:r>
        <w:rPr>
          <w:sz w:val="22"/>
          <w:szCs w:val="22"/>
        </w:rPr>
        <w:lastRenderedPageBreak/>
        <w:t>O'Reilly, N., Stroebel, T., &amp; Pfahl, M. E. (2018). An empirical exploration of sponsorship sales in North American professional sport. Sport Business and Management, 8(1), 15-34. https://doi.org/10.1108/sbm-07-2016-0035</w:t>
      </w:r>
    </w:p>
    <w:p w14:paraId="5B2B2D5D" w14:textId="77777777" w:rsidR="00834E21" w:rsidRDefault="00000000">
      <w:pPr>
        <w:spacing w:before="60" w:after="60" w:line="320" w:lineRule="auto"/>
        <w:ind w:left="720" w:hanging="720"/>
        <w:jc w:val="both"/>
      </w:pPr>
      <w:r>
        <w:rPr>
          <w:sz w:val="22"/>
          <w:szCs w:val="22"/>
        </w:rPr>
        <w:t>Park, J., Williams, A. S., &amp; Son, S. (2020). Social media as a personal branding tool: A qualitative study of student-athletes' perceptions and behaviors. Journal of Athlete Development and Experience, 2(1). https://doi.org/10.25035/jade.02.01.04</w:t>
      </w:r>
    </w:p>
    <w:p w14:paraId="22783489" w14:textId="77777777" w:rsidR="00834E21" w:rsidRDefault="00000000">
      <w:pPr>
        <w:spacing w:before="60" w:after="60" w:line="320" w:lineRule="auto"/>
        <w:ind w:left="720" w:hanging="720"/>
        <w:jc w:val="both"/>
      </w:pPr>
      <w:r>
        <w:rPr>
          <w:sz w:val="22"/>
          <w:szCs w:val="22"/>
        </w:rPr>
        <w:t>Perry, J., Anderson, A. J., &amp; Ohrberg, N. J. (2022). The digital paradigm shift: Challenges faced by HBCU sport management programs in light of modernization. Journal of Education and Recreation Patterns, 3(1), 25-35. https://doi.org/10.53016/jerp.v3i1.42</w:t>
      </w:r>
    </w:p>
    <w:p w14:paraId="788426E3" w14:textId="77777777" w:rsidR="00834E21" w:rsidRDefault="00000000">
      <w:pPr>
        <w:spacing w:before="60" w:after="60" w:line="320" w:lineRule="auto"/>
        <w:ind w:left="720" w:hanging="720"/>
        <w:jc w:val="both"/>
      </w:pPr>
      <w:r>
        <w:rPr>
          <w:sz w:val="22"/>
          <w:szCs w:val="22"/>
        </w:rPr>
        <w:t>Pierce, D. A., Petersen, J., &amp; Meadows, B. J. (2011). Authentic assessment of experiential learning in sport sales. Sport Marketing Quarterly, 20(2), 75-83. https://doi.org/10.1177/106169341102000204</w:t>
      </w:r>
    </w:p>
    <w:p w14:paraId="00D4B85F" w14:textId="77777777" w:rsidR="00834E21" w:rsidRDefault="00000000">
      <w:pPr>
        <w:spacing w:before="60" w:after="60" w:line="320" w:lineRule="auto"/>
        <w:ind w:left="720" w:hanging="720"/>
        <w:jc w:val="both"/>
      </w:pPr>
      <w:r>
        <w:rPr>
          <w:sz w:val="22"/>
          <w:szCs w:val="22"/>
        </w:rPr>
        <w:t xml:space="preserve">Pioletti, A. M. (2017). Sport as a driver for local development and sustainable tourism. Revue </w:t>
      </w:r>
      <w:proofErr w:type="spellStart"/>
      <w:r>
        <w:rPr>
          <w:sz w:val="22"/>
          <w:szCs w:val="22"/>
        </w:rPr>
        <w:t>Internationale</w:t>
      </w:r>
      <w:proofErr w:type="spellEnd"/>
      <w:r>
        <w:rPr>
          <w:sz w:val="22"/>
          <w:szCs w:val="22"/>
        </w:rPr>
        <w:t xml:space="preserve"> Animation </w:t>
      </w:r>
      <w:proofErr w:type="spellStart"/>
      <w:r>
        <w:rPr>
          <w:sz w:val="22"/>
          <w:szCs w:val="22"/>
        </w:rPr>
        <w:t>Territoires</w:t>
      </w:r>
      <w:proofErr w:type="spellEnd"/>
      <w:r>
        <w:rPr>
          <w:sz w:val="22"/>
          <w:szCs w:val="22"/>
        </w:rPr>
        <w:t xml:space="preserve"> et Pratiques </w:t>
      </w:r>
      <w:proofErr w:type="spellStart"/>
      <w:r>
        <w:rPr>
          <w:sz w:val="22"/>
          <w:szCs w:val="22"/>
        </w:rPr>
        <w:t>Socioculturelles</w:t>
      </w:r>
      <w:proofErr w:type="spellEnd"/>
      <w:r>
        <w:rPr>
          <w:sz w:val="22"/>
          <w:szCs w:val="22"/>
        </w:rPr>
        <w:t>, 12, 30-46. https://doi.org/10.55765/atps.i12.598</w:t>
      </w:r>
    </w:p>
    <w:p w14:paraId="7BB1C92F" w14:textId="77777777" w:rsidR="00834E21" w:rsidRDefault="00000000">
      <w:pPr>
        <w:spacing w:before="60" w:after="60" w:line="320" w:lineRule="auto"/>
        <w:ind w:left="720" w:hanging="720"/>
        <w:jc w:val="both"/>
      </w:pPr>
      <w:r>
        <w:rPr>
          <w:sz w:val="22"/>
          <w:szCs w:val="22"/>
        </w:rPr>
        <w:t>Popp, N., Jensen, J. A., &amp; McEvoy, C. D. (2020). An examination of the effects of outsourcing ticket sales force management. International Journal of Sports Marketing and Sponsorship, 21(2), 205-223. https://doi.org/10.1108/ijsms-04-2019-0046</w:t>
      </w:r>
    </w:p>
    <w:p w14:paraId="6E800483" w14:textId="77777777" w:rsidR="00834E21" w:rsidRDefault="00000000">
      <w:pPr>
        <w:spacing w:before="60" w:after="60" w:line="320" w:lineRule="auto"/>
        <w:ind w:left="720" w:hanging="720"/>
        <w:jc w:val="both"/>
      </w:pPr>
      <w:r>
        <w:rPr>
          <w:sz w:val="22"/>
          <w:szCs w:val="22"/>
        </w:rPr>
        <w:t>Popp, N., Simmons, J., &amp; McEvoy, C. D. (2017). Sport ticket sales training: Perceived effectiveness and impact on ticket sales results. Sport Marketing Quarterly, 26(2), 99-109. https://doi.org/10.1177/106169341702600205</w:t>
      </w:r>
    </w:p>
    <w:p w14:paraId="403A054F" w14:textId="77777777" w:rsidR="00834E21" w:rsidRDefault="00000000">
      <w:pPr>
        <w:spacing w:before="60" w:after="60" w:line="320" w:lineRule="auto"/>
        <w:ind w:left="720" w:hanging="720"/>
        <w:jc w:val="both"/>
      </w:pPr>
      <w:r>
        <w:rPr>
          <w:sz w:val="22"/>
          <w:szCs w:val="22"/>
        </w:rPr>
        <w:t>Raso, G., &amp; Cherubini, D. (2023). Sport tourism and regional economic development. Scientific Journal of Sport and Performance, 3(1), 108-121. https://doi.org/10.55860/jkwx7277</w:t>
      </w:r>
    </w:p>
    <w:p w14:paraId="0CEA7AF3" w14:textId="77777777" w:rsidR="00834E21" w:rsidRDefault="00000000">
      <w:pPr>
        <w:spacing w:before="60" w:after="60" w:line="320" w:lineRule="auto"/>
        <w:ind w:left="720" w:hanging="720"/>
        <w:jc w:val="both"/>
      </w:pPr>
      <w:r>
        <w:rPr>
          <w:sz w:val="22"/>
          <w:szCs w:val="22"/>
        </w:rPr>
        <w:t>Schneider, S. K., &amp; George, W. M. (2011). Servant leadership versus transformational leadership in voluntary service organizations. Leadership and Organization Development Journal, 32(1), 60-77. https://doi.org/10.1108/01437731111099283</w:t>
      </w:r>
    </w:p>
    <w:p w14:paraId="1A7B6830" w14:textId="77777777" w:rsidR="00834E21" w:rsidRDefault="00000000">
      <w:pPr>
        <w:spacing w:before="60" w:after="60" w:line="320" w:lineRule="auto"/>
        <w:ind w:left="720" w:hanging="720"/>
        <w:jc w:val="both"/>
      </w:pPr>
      <w:r>
        <w:rPr>
          <w:sz w:val="22"/>
          <w:szCs w:val="22"/>
        </w:rPr>
        <w:t xml:space="preserve">Smolarek, M., &amp; </w:t>
      </w:r>
      <w:proofErr w:type="spellStart"/>
      <w:r>
        <w:rPr>
          <w:sz w:val="22"/>
          <w:szCs w:val="22"/>
        </w:rPr>
        <w:t>Dziendziora</w:t>
      </w:r>
      <w:proofErr w:type="spellEnd"/>
      <w:r>
        <w:rPr>
          <w:sz w:val="22"/>
          <w:szCs w:val="22"/>
        </w:rPr>
        <w:t>, J. (2022). Impact of personal branding on the development of professional careers of managers. European Research Studies Journal, 25(1), 133-147. https://doi.org/10.35808/ersj/2833</w:t>
      </w:r>
    </w:p>
    <w:p w14:paraId="0B58BDDA" w14:textId="77777777" w:rsidR="00834E21" w:rsidRDefault="00000000">
      <w:pPr>
        <w:spacing w:before="60" w:after="60" w:line="320" w:lineRule="auto"/>
        <w:ind w:left="720" w:hanging="720"/>
        <w:jc w:val="both"/>
      </w:pPr>
      <w:r>
        <w:rPr>
          <w:sz w:val="22"/>
          <w:szCs w:val="22"/>
        </w:rPr>
        <w:t xml:space="preserve">Taks, M., </w:t>
      </w:r>
      <w:proofErr w:type="spellStart"/>
      <w:r>
        <w:rPr>
          <w:sz w:val="22"/>
          <w:szCs w:val="22"/>
        </w:rPr>
        <w:t>Chalip</w:t>
      </w:r>
      <w:proofErr w:type="spellEnd"/>
      <w:r>
        <w:rPr>
          <w:sz w:val="22"/>
          <w:szCs w:val="22"/>
        </w:rPr>
        <w:t>, L., &amp; Green, B. C. (2015). Impacts and strategic outcomes from non-mega sport events for local communities. European Sport Management Quarterly, 15(1), 1-6. https://doi.org/10.1080/16184742.2014.995116</w:t>
      </w:r>
    </w:p>
    <w:p w14:paraId="66780173" w14:textId="77777777" w:rsidR="00834E21" w:rsidRDefault="00000000">
      <w:pPr>
        <w:spacing w:before="60" w:after="60" w:line="320" w:lineRule="auto"/>
        <w:ind w:left="720" w:hanging="720"/>
        <w:jc w:val="both"/>
      </w:pPr>
      <w:r>
        <w:rPr>
          <w:sz w:val="22"/>
          <w:szCs w:val="22"/>
        </w:rPr>
        <w:t>Tiessen, R., Grantham, K., &amp; Cameron, J. (2019). The relationship between experiential learning and career outcomes for alumni of international development studies programs in Canada. Canadian Journal of Higher Education, 48(3), 23-42. https://doi.org/10.7202/1057127ar</w:t>
      </w:r>
    </w:p>
    <w:p w14:paraId="24DC8DE4" w14:textId="77777777" w:rsidR="00834E21" w:rsidRDefault="00000000">
      <w:pPr>
        <w:spacing w:before="60" w:after="60" w:line="320" w:lineRule="auto"/>
        <w:ind w:left="720" w:hanging="720"/>
        <w:jc w:val="both"/>
      </w:pPr>
      <w:r>
        <w:rPr>
          <w:sz w:val="22"/>
          <w:szCs w:val="22"/>
        </w:rPr>
        <w:t>Vinson, D., &amp; Parker, A. (2020). Christian sports coaches and servant leadership. International Journal of Sports Science and Coaching, 16(2), 304-316. https://doi.org/10.1177/1747954120951768</w:t>
      </w:r>
    </w:p>
    <w:p w14:paraId="3C3C39FF" w14:textId="77777777" w:rsidR="00834E21" w:rsidRDefault="00000000">
      <w:pPr>
        <w:spacing w:before="60" w:after="60" w:line="320" w:lineRule="auto"/>
        <w:ind w:left="720" w:hanging="720"/>
        <w:jc w:val="both"/>
      </w:pPr>
      <w:r>
        <w:rPr>
          <w:sz w:val="22"/>
          <w:szCs w:val="22"/>
        </w:rPr>
        <w:lastRenderedPageBreak/>
        <w:t>Wieselmann, J. R., Sager, M. T., &amp; Scott, C. C. (2025). STEM, sports, and service-learning: Exploring undergraduates' experiential learning and social consciousness as summer program volunteers. Journal of Experiential Education, 48(4), 746-766. https://doi.org/10.1177/10538259251331584</w:t>
      </w:r>
    </w:p>
    <w:p w14:paraId="6D89C121" w14:textId="77777777" w:rsidR="00834E21" w:rsidRDefault="00000000">
      <w:pPr>
        <w:spacing w:before="60" w:after="60" w:line="320" w:lineRule="auto"/>
        <w:ind w:left="720" w:hanging="720"/>
        <w:jc w:val="both"/>
      </w:pPr>
      <w:r>
        <w:rPr>
          <w:sz w:val="22"/>
          <w:szCs w:val="22"/>
        </w:rPr>
        <w:t>Xie, L. (2020). The impact of servant leadership and transformational leadership on learning organization: A comparative analysis. Leadership and Organization Development Journal, 41(2), 220-236. https://doi.org/10.1108/lodj-04-2019-0148</w:t>
      </w:r>
    </w:p>
    <w:sectPr w:rsidR="00834E21">
      <w:headerReference w:type="default" r:id="rId11"/>
      <w:footerReference w:type="defaul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3E76" w14:textId="77777777" w:rsidR="00374B15" w:rsidRDefault="00374B15">
      <w:r>
        <w:separator/>
      </w:r>
    </w:p>
  </w:endnote>
  <w:endnote w:type="continuationSeparator" w:id="0">
    <w:p w14:paraId="310289E7" w14:textId="77777777" w:rsidR="00374B15" w:rsidRDefault="00374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A5D1" w14:textId="77777777" w:rsidR="00834E21" w:rsidRDefault="00000000">
    <w:pPr>
      <w:jc w:val="center"/>
    </w:pPr>
    <w:r>
      <w:rPr>
        <w:rFonts w:ascii="Arial" w:eastAsia="Arial" w:hAnsi="Arial" w:cs="Arial"/>
        <w:color w:val="888888"/>
        <w:sz w:val="18"/>
        <w:szCs w:val="18"/>
      </w:rPr>
      <w:t xml:space="preserve">Page </w:t>
    </w:r>
    <w:r>
      <w:rPr>
        <w:rFonts w:ascii="Arial" w:eastAsia="Arial" w:hAnsi="Arial" w:cs="Arial"/>
        <w:color w:val="888888"/>
        <w:sz w:val="18"/>
        <w:szCs w:val="18"/>
      </w:rPr>
      <w:fldChar w:fldCharType="begin"/>
    </w:r>
    <w:r>
      <w:rPr>
        <w:rFonts w:ascii="Arial" w:eastAsia="Arial" w:hAnsi="Arial" w:cs="Arial"/>
        <w:color w:val="888888"/>
        <w:sz w:val="18"/>
        <w:szCs w:val="18"/>
      </w:rPr>
      <w:instrText>PAGE</w:instrText>
    </w:r>
    <w:r>
      <w:rPr>
        <w:rFonts w:ascii="Arial" w:eastAsia="Arial" w:hAnsi="Arial" w:cs="Arial"/>
        <w:color w:val="888888"/>
        <w:sz w:val="18"/>
        <w:szCs w:val="18"/>
      </w:rPr>
      <w:fldChar w:fldCharType="separate"/>
    </w:r>
    <w:r w:rsidR="002A3EBE">
      <w:rPr>
        <w:rFonts w:ascii="Arial" w:eastAsia="Arial" w:hAnsi="Arial" w:cs="Arial"/>
        <w:noProof/>
        <w:color w:val="888888"/>
        <w:sz w:val="18"/>
        <w:szCs w:val="18"/>
      </w:rPr>
      <w:t>1</w:t>
    </w:r>
    <w:r>
      <w:rPr>
        <w:rFonts w:ascii="Arial" w:eastAsia="Arial" w:hAnsi="Arial" w:cs="Arial"/>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66831" w14:textId="77777777" w:rsidR="00374B15" w:rsidRDefault="00374B15">
      <w:r>
        <w:separator/>
      </w:r>
    </w:p>
  </w:footnote>
  <w:footnote w:type="continuationSeparator" w:id="0">
    <w:p w14:paraId="33BFD717" w14:textId="77777777" w:rsidR="00374B15" w:rsidRDefault="00374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EA78" w14:textId="77777777" w:rsidR="00834E21" w:rsidRDefault="00000000">
    <w:pPr>
      <w:jc w:val="right"/>
    </w:pPr>
    <w:r>
      <w:rPr>
        <w:rFonts w:ascii="Arial" w:eastAsia="Arial" w:hAnsi="Arial" w:cs="Arial"/>
        <w:i/>
        <w:iCs/>
        <w:color w:val="888888"/>
        <w:sz w:val="18"/>
        <w:szCs w:val="18"/>
      </w:rPr>
      <w:t>Experiential Learning in Sport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265B5"/>
    <w:multiLevelType w:val="hybridMultilevel"/>
    <w:tmpl w:val="3E3A8880"/>
    <w:lvl w:ilvl="0" w:tplc="F6C20714">
      <w:start w:val="1"/>
      <w:numFmt w:val="bullet"/>
      <w:lvlText w:val="●"/>
      <w:lvlJc w:val="left"/>
      <w:pPr>
        <w:ind w:left="720" w:hanging="360"/>
      </w:pPr>
    </w:lvl>
    <w:lvl w:ilvl="1" w:tplc="D1568200">
      <w:start w:val="1"/>
      <w:numFmt w:val="bullet"/>
      <w:lvlText w:val="○"/>
      <w:lvlJc w:val="left"/>
      <w:pPr>
        <w:ind w:left="1440" w:hanging="360"/>
      </w:pPr>
    </w:lvl>
    <w:lvl w:ilvl="2" w:tplc="BA749E2E">
      <w:start w:val="1"/>
      <w:numFmt w:val="bullet"/>
      <w:lvlText w:val="■"/>
      <w:lvlJc w:val="left"/>
      <w:pPr>
        <w:ind w:left="2160" w:hanging="360"/>
      </w:pPr>
    </w:lvl>
    <w:lvl w:ilvl="3" w:tplc="F09AFCA6">
      <w:start w:val="1"/>
      <w:numFmt w:val="bullet"/>
      <w:lvlText w:val="●"/>
      <w:lvlJc w:val="left"/>
      <w:pPr>
        <w:ind w:left="2880" w:hanging="360"/>
      </w:pPr>
    </w:lvl>
    <w:lvl w:ilvl="4" w:tplc="34C4C49C">
      <w:start w:val="1"/>
      <w:numFmt w:val="bullet"/>
      <w:lvlText w:val="○"/>
      <w:lvlJc w:val="left"/>
      <w:pPr>
        <w:ind w:left="3600" w:hanging="360"/>
      </w:pPr>
    </w:lvl>
    <w:lvl w:ilvl="5" w:tplc="3416BC62">
      <w:start w:val="1"/>
      <w:numFmt w:val="bullet"/>
      <w:lvlText w:val="■"/>
      <w:lvlJc w:val="left"/>
      <w:pPr>
        <w:ind w:left="4320" w:hanging="360"/>
      </w:pPr>
    </w:lvl>
    <w:lvl w:ilvl="6" w:tplc="AEBACCB4">
      <w:start w:val="1"/>
      <w:numFmt w:val="bullet"/>
      <w:lvlText w:val="●"/>
      <w:lvlJc w:val="left"/>
      <w:pPr>
        <w:ind w:left="5040" w:hanging="360"/>
      </w:pPr>
    </w:lvl>
    <w:lvl w:ilvl="7" w:tplc="D05E42AC">
      <w:start w:val="1"/>
      <w:numFmt w:val="bullet"/>
      <w:lvlText w:val="●"/>
      <w:lvlJc w:val="left"/>
      <w:pPr>
        <w:ind w:left="5760" w:hanging="360"/>
      </w:pPr>
    </w:lvl>
    <w:lvl w:ilvl="8" w:tplc="1986AEAA">
      <w:start w:val="1"/>
      <w:numFmt w:val="bullet"/>
      <w:lvlText w:val="●"/>
      <w:lvlJc w:val="left"/>
      <w:pPr>
        <w:ind w:left="6480" w:hanging="360"/>
      </w:pPr>
    </w:lvl>
  </w:abstractNum>
  <w:num w:numId="1" w16cid:durableId="10501107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21"/>
    <w:rsid w:val="0002056C"/>
    <w:rsid w:val="000F7E72"/>
    <w:rsid w:val="002A3EBE"/>
    <w:rsid w:val="00374B15"/>
    <w:rsid w:val="005E4E01"/>
    <w:rsid w:val="00834E21"/>
    <w:rsid w:val="00C736F7"/>
    <w:rsid w:val="00D5035A"/>
    <w:rsid w:val="00D5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C4791F"/>
  <w15:docId w15:val="{D50E52DD-C3CF-DB49-BA00-F2B33F46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Arial" w:eastAsia="Arial" w:hAnsi="Arial" w:cs="Arial"/>
      <w:b/>
      <w:bCs/>
      <w:color w:val="2E4057"/>
      <w:sz w:val="36"/>
      <w:szCs w:val="36"/>
    </w:rPr>
  </w:style>
  <w:style w:type="paragraph" w:styleId="Heading2">
    <w:name w:val="heading 2"/>
    <w:uiPriority w:val="9"/>
    <w:unhideWhenUsed/>
    <w:qFormat/>
    <w:pPr>
      <w:spacing w:before="320" w:after="160"/>
      <w:outlineLvl w:val="1"/>
    </w:pPr>
    <w:rPr>
      <w:rFonts w:ascii="Arial" w:eastAsia="Arial" w:hAnsi="Arial" w:cs="Arial"/>
      <w:b/>
      <w:bCs/>
      <w:color w:val="444444"/>
      <w:sz w:val="28"/>
      <w:szCs w:val="28"/>
    </w:rPr>
  </w:style>
  <w:style w:type="paragraph" w:styleId="Heading3">
    <w:name w:val="heading 3"/>
    <w:uiPriority w:val="9"/>
    <w:semiHidden/>
    <w:unhideWhenUsed/>
    <w:qFormat/>
    <w:pPr>
      <w:spacing w:before="240" w:after="120"/>
      <w:outlineLvl w:val="2"/>
    </w:pPr>
    <w:rPr>
      <w:rFonts w:ascii="Arial" w:eastAsia="Arial" w:hAnsi="Arial" w:cs="Arial"/>
      <w:b/>
      <w:bCs/>
      <w:color w:val="66666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38480</Words>
  <Characters>219341</Characters>
  <Application>Microsoft Office Word</Application>
  <DocSecurity>0</DocSecurity>
  <Lines>1827</Lines>
  <Paragraphs>514</Paragraphs>
  <ScaleCrop>false</ScaleCrop>
  <Company/>
  <LinksUpToDate>false</LinksUpToDate>
  <CharactersWithSpaces>257307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Greer, Joshua</cp:lastModifiedBy>
  <cp:revision>2</cp:revision>
  <dcterms:created xsi:type="dcterms:W3CDTF">2026-05-30T19:14:00Z</dcterms:created>
  <dcterms:modified xsi:type="dcterms:W3CDTF">2026-05-30T19:14:00Z</dcterms:modified>
</cp:coreProperties>
</file>